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rPr>
          <w:rFonts w:ascii="宋体" w:hAnsi="宋体"/>
        </w:rPr>
      </w:pPr>
      <w:r>
        <w:rPr>
          <w:rFonts w:ascii="宋体" w:hAnsi="宋体" w:eastAsia="宋体" w:cs="Times New Roman"/>
          <w:sz w:val="20"/>
          <w:szCs w:val="24"/>
          <w:lang w:val="en-US" w:eastAsia="en-US" w:bidi="ar-SA"/>
        </w:rPr>
        <w:pict>
          <v:shape id="文本框 592" o:spid="_x0000_s1027" type="#_x0000_t202" style="position:absolute;left:0;margin-left:-0.85pt;margin-top:-2.8pt;height:28.7pt;width:92.55pt;rotation:0f;z-index:251659264;" o:ole="f" fillcolor="#FFFFFF" filled="t" o:preferrelative="t" stroked="t" coordorigin="0,0" coordsize="21600,21600">
            <v:stroke color="#000000" color2="#FFFFFF" miterlimit="2"/>
            <v:imagedata gain="65536f" blacklevel="0f" gamma="0"/>
            <o:lock v:ext="edit" position="f" selection="f" grouping="f" rotation="f" cropping="f" text="f" aspectratio="f"/>
            <v:textbox>
              <w:txbxContent>
                <w:p>
                  <w:r>
                    <w:rPr>
                      <w:rFonts w:hint="eastAsia"/>
                    </w:rPr>
                    <w:t>科目代码：140</w:t>
                  </w:r>
                </w:p>
              </w:txbxContent>
            </v:textbox>
          </v:shape>
        </w:pict>
      </w:r>
      <w:r>
        <w:rPr>
          <w:rFonts w:ascii="宋体" w:hAnsi="宋体" w:eastAsia="宋体" w:cs="Times New Roman"/>
          <w:sz w:val="20"/>
          <w:szCs w:val="24"/>
          <w:lang w:val="en-US" w:eastAsia="en-US" w:bidi="ar-SA"/>
        </w:rPr>
        <w:pict>
          <v:group id="Group 3" o:spid="_x0000_s1028" style="position:absolute;left:0;margin-left:27.2pt;margin-top:70.9pt;height:703.5pt;width:82.5pt;mso-position-horizontal-relative:page;mso-position-vertical-relative:page;rotation:0f;z-index:251658240;" coordorigin="542,1418" coordsize="1650,14070">
            <o:lock v:ext="edit" position="f" selection="f" grouping="f" rotation="f" cropping="f" text="f" aspectratio="f"/>
            <v:group id="Group 4" o:spid="_x0000_s1029" style="position:absolute;left:1832;top:1418;height:14070;width:360;rotation:0f;" coordorigin="1832,1418" coordsize="360,14070">
              <o:lock v:ext="edit" position="f" selection="f" grouping="f" rotation="f" cropping="f" text="f" aspectratio="f"/>
              <v:rect id="Rectangle 5" o:spid="_x0000_s1030" style="position:absolute;left:1832;top:1485;height:14003;width:360;rotation:0f;" o:ole="f" fillcolor="#FFFFFF" filled="f" o:preferrelative="t" stroked="f" coordsize="21600,21600">
                <v:fill on="f" color2="#FFFFFF" focus="0%"/>
                <v:imagedata gain="65536f" blacklevel="0f" gamma="0"/>
                <o:lock v:ext="edit" position="f" selection="f" grouping="f" rotation="f" cropping="f" text="f" aspectratio="f"/>
                <v:textbox inset="0.00pt,0.00pt,0.00pt,0.00pt" style="layout-flow:vertical;mso-layout-flow-alt:bottom-to-top;">
                  <w:txbxContent>
                    <w:p>
                      <w:pPr>
                        <w:ind w:firstLine="1680" w:firstLineChars="800"/>
                        <w:rPr>
                          <w:rFonts w:hint="eastAsia"/>
                        </w:rPr>
                      </w:pPr>
                      <w:r>
                        <w:rPr>
                          <w:rFonts w:hint="eastAsia"/>
                        </w:rPr>
                        <w:t xml:space="preserve">考         生        </w:t>
                      </w:r>
                      <w:r>
                        <w:t xml:space="preserve"> </w:t>
                      </w:r>
                      <w:r>
                        <w:rPr>
                          <w:rFonts w:hint="eastAsia"/>
                        </w:rPr>
                        <w:t xml:space="preserve">答         题         不         准         超         过        </w:t>
                      </w:r>
                      <w:r>
                        <w:t xml:space="preserve"> </w:t>
                      </w:r>
                      <w:r>
                        <w:rPr>
                          <w:rFonts w:hint="eastAsia"/>
                        </w:rPr>
                        <w:t xml:space="preserve">此         线     </w:t>
                      </w:r>
                    </w:p>
                  </w:txbxContent>
                </v:textbox>
              </v:rect>
              <v:line id="Line 6" o:spid="_x0000_s1031" style="position:absolute;left:1126;top:2274;height:0;width:1712;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7" o:spid="_x0000_s1032" style="position:absolute;left:1557;top:5010;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8" o:spid="_x0000_s1033" style="position:absolute;left:1557;top:3867;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9" o:spid="_x0000_s1034" style="position:absolute;left:1557;top:6177;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0" o:spid="_x0000_s1035" style="position:absolute;left:1557;top:7329;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1" o:spid="_x0000_s1036" style="position:absolute;left:1557;top:8475;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2" o:spid="_x0000_s1037" style="position:absolute;left:1557;top:9668;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3" o:spid="_x0000_s1038" style="position:absolute;left:1557;top:10816;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4" o:spid="_x0000_s1039" style="position:absolute;left:1557;top:11985;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5" o:spid="_x0000_s1040" style="position:absolute;left:1557;top:13101;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6" o:spid="_x0000_s1041" style="position:absolute;left:1186;top:14641;height:0;width:1587;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group>
            <v:group id="Group 17" o:spid="_x0000_s1042" style="position:absolute;left:542;top:13711;height:1092;width:850;rotation:0f;" coordorigin="542,13711" coordsize="850,1092">
              <o:lock v:ext="edit" position="f" selection="f" grouping="f" rotation="f" cropping="f" text="f" aspectratio="f"/>
              <v:rect id="Rectangle 18" o:spid="_x0000_s1043" style="position:absolute;left:542;top:13711;height:1092;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rPr>
                          <w:rFonts w:hint="eastAsia"/>
                        </w:rPr>
                      </w:pPr>
                      <w:r>
                        <w:rPr>
                          <w:rFonts w:hint="eastAsia"/>
                        </w:rPr>
                        <w:t>地  区</w:t>
                      </w:r>
                    </w:p>
                  </w:txbxContent>
                </v:textbox>
              </v:rect>
              <v:line id="Line 19" o:spid="_x0000_s1044" style="position:absolute;left:417;top:14259;height:0;width:108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0" o:spid="_x0000_s1045" style="position:absolute;left:542;top:5564;height:2241;width:850;rotation:0f;" coordorigin="542,5564" coordsize="850,2241">
              <o:lock v:ext="edit" position="f" selection="f" grouping="f" rotation="f" cropping="f" text="f" aspectratio="f"/>
              <v:rect id="Rectangle 21" o:spid="_x0000_s1046" style="position:absolute;left:542;top:5564;height:2241;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姓     名</w:t>
                      </w:r>
                    </w:p>
                  </w:txbxContent>
                </v:textbox>
              </v:rect>
              <v:line id="Line 22" o:spid="_x0000_s1047" style="position:absolute;left:-153;top:6682;height:0;width:2222;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3" o:spid="_x0000_s1048" style="position:absolute;left:542;top:1756;height:2745;width:850;rotation:0f;" coordorigin="542,1756" coordsize="850,2745">
              <o:lock v:ext="edit" position="f" selection="f" grouping="f" rotation="f" cropping="f" text="f" aspectratio="f"/>
              <v:rect id="Rectangle 24" o:spid="_x0000_s1049" style="position:absolute;left:542;top:1756;height:2745;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单</w:t>
                      </w:r>
                      <w:r>
                        <w:t xml:space="preserve"> </w:t>
                      </w:r>
                      <w:r>
                        <w:rPr>
                          <w:rFonts w:hint="eastAsia"/>
                        </w:rPr>
                        <w:t>位</w:t>
                      </w:r>
                      <w:r>
                        <w:t xml:space="preserve"> </w:t>
                      </w:r>
                      <w:r>
                        <w:rPr>
                          <w:rFonts w:hint="eastAsia"/>
                        </w:rPr>
                        <w:t>名</w:t>
                      </w:r>
                      <w:r>
                        <w:t xml:space="preserve"> </w:t>
                      </w:r>
                      <w:r>
                        <w:rPr>
                          <w:rFonts w:hint="eastAsia"/>
                        </w:rPr>
                        <w:t>称</w:t>
                      </w:r>
                    </w:p>
                  </w:txbxContent>
                </v:textbox>
              </v:rect>
              <v:line id="Line 25" o:spid="_x0000_s1050" style="position:absolute;left:-402;top:3127;height:0;width:273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6" o:spid="_x0000_s1051" style="position:absolute;left:542;top:8885;height:3713;width:850;rotation:0f;" coordorigin="542,8885" coordsize="850,3713">
              <o:lock v:ext="edit" position="f" selection="f" grouping="f" rotation="f" cropping="f" text="f" aspectratio="f"/>
              <v:group id="Group 27" o:spid="_x0000_s1052" style="position:absolute;left:542;top:8885;height:3713;width:850;rotation:0f;" coordorigin="542,9091" coordsize="850,3713">
                <o:lock v:ext="edit" position="f" selection="f" grouping="f" rotation="f" cropping="f" text="f" aspectratio="f"/>
                <v:rect id="Rectangle 28" o:spid="_x0000_s1053" style="position:absolute;left:542;top:9093;height:3711;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准</w:t>
                        </w:r>
                        <w:r>
                          <w:t xml:space="preserve"> </w:t>
                        </w:r>
                        <w:r>
                          <w:rPr>
                            <w:rFonts w:hint="eastAsia"/>
                          </w:rPr>
                          <w:t>考</w:t>
                        </w:r>
                        <w:r>
                          <w:t xml:space="preserve"> </w:t>
                        </w:r>
                        <w:r>
                          <w:rPr>
                            <w:rFonts w:hint="eastAsia"/>
                          </w:rPr>
                          <w:t>证</w:t>
                        </w:r>
                        <w:r>
                          <w:t xml:space="preserve"> </w:t>
                        </w:r>
                        <w:r>
                          <w:rPr>
                            <w:rFonts w:hint="eastAsia"/>
                          </w:rPr>
                          <w:t>号</w:t>
                        </w:r>
                      </w:p>
                    </w:txbxContent>
                  </v:textbox>
                </v:rect>
                <v:line id="Line 29" o:spid="_x0000_s1054" style="position:absolute;left:-893;top:10947;height:0;width:371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30" o:spid="_x0000_s1055" style="position:absolute;left:976;top:9072;height:3342;width:403;rotation:0f;" coordorigin="991,9072" coordsize="392,3342">
                <o:lock v:ext="edit" position="f" selection="f" grouping="f" rotation="f" cropping="f" text="f" aspectratio="f"/>
                <v:line id="Line 31" o:spid="_x0000_s1056" style="position:absolute;left:992;top:9072;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2" o:spid="_x0000_s1057" style="position:absolute;left:992;top:948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3" o:spid="_x0000_s1058" style="position:absolute;left:991;top:968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4" o:spid="_x0000_s1059" style="position:absolute;left:992;top:986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5" o:spid="_x0000_s1060" style="position:absolute;left:991;top:10062;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6" o:spid="_x0000_s1061" style="position:absolute;left:992;top:1025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7" o:spid="_x0000_s1062" style="position:absolute;left:992;top:1046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8" o:spid="_x0000_s1063" style="position:absolute;left:992;top:10653;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9" o:spid="_x0000_s1064" style="position:absolute;left:992;top:1085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0" o:spid="_x0000_s1065" style="position:absolute;left:992;top:1104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1" o:spid="_x0000_s1066" style="position:absolute;left:992;top:1124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2" o:spid="_x0000_s1067" style="position:absolute;left:992;top:1142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3" o:spid="_x0000_s1068" style="position:absolute;left:992;top:1163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4" o:spid="_x0000_s1069" style="position:absolute;left:992;top:1182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5" o:spid="_x0000_s1070" style="position:absolute;left:991;top:1202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6" o:spid="_x0000_s1071" style="position:absolute;left:992;top:1220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7" o:spid="_x0000_s1072" style="position:absolute;left:992;top:1241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8" o:spid="_x0000_s1073" style="position:absolute;left:992;top:9273;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v:group>
        </w:pict>
      </w:r>
    </w:p>
    <w:p>
      <w:pPr>
        <w:pStyle w:val="43"/>
      </w:pPr>
      <w:r>
        <w:t>机动车检测工四级理论知识试卷</w:t>
      </w:r>
    </w:p>
    <w:p>
      <w:pPr>
        <w:pStyle w:val="72"/>
      </w:pPr>
      <w:r>
        <w:t>试卷编码：408050541-2025030001</w:t>
      </w:r>
    </w:p>
    <w:p>
      <w:pPr>
        <w:pStyle w:val="31"/>
      </w:pPr>
      <w:r>
        <w:t>职    业：机动车检测工</w:t>
      </w:r>
    </w:p>
    <w:p>
      <w:pPr>
        <w:pStyle w:val="31"/>
      </w:pPr>
      <w:r>
        <w:t>等    级：四级</w:t>
      </w:r>
    </w:p>
    <w:p>
      <w:pPr>
        <w:pStyle w:val="31"/>
      </w:pPr>
      <w:r>
        <w:t>卷 册 一：理论知识</w:t>
      </w:r>
    </w:p>
    <w:p>
      <w:pPr>
        <w:pStyle w:val="43"/>
      </w:pPr>
      <w:r>
        <w:t>注   意   事   项</w:t>
      </w:r>
    </w:p>
    <w:p>
      <w:pPr>
        <w:pStyle w:val="67"/>
      </w:pPr>
      <w:r>
        <w:t>1、考试时间：</w:t>
      </w:r>
      <w:r>
        <w:rPr>
          <w:rFonts w:hint="eastAsia"/>
          <w:lang w:val="en-US" w:eastAsia="zh-CN"/>
        </w:rPr>
        <w:t>12</w:t>
      </w:r>
      <w:bookmarkStart w:id="0" w:name="_GoBack"/>
      <w:bookmarkEnd w:id="0"/>
      <w:r>
        <w:t>0分钟。</w:t>
      </w:r>
      <w:r>
        <w:br/>
      </w:r>
      <w:r>
        <w:t>2、请首先按要求在试卷的标封处填写您的姓名、准考证号和所在单位的名称。</w:t>
      </w:r>
      <w:r>
        <w:br/>
      </w:r>
      <w:r>
        <w:t>3、请仔细阅读各种题目的回答要求，请在答题卡上采用2B的铅笔填涂。</w:t>
      </w:r>
      <w:r>
        <w:br/>
      </w:r>
      <w:r>
        <w:t>4、不要在试卷上乱写乱画，不要在标封区填写无关的内容。</w:t>
      </w:r>
    </w:p>
    <w:tbl>
      <w:tblPr>
        <w:tblStyle w:val="25"/>
        <w:tblW w:w="5329"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009"/>
        <w:gridCol w:w="1440"/>
        <w:gridCol w:w="1440"/>
        <w:gridCol w:w="1440"/>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0" w:hRule="atLeast"/>
          <w:jc w:val="center"/>
        </w:trPr>
        <w:tc>
          <w:tcPr>
            <w:tcW w:w="1009" w:type="dxa"/>
            <w:vAlign w:val="center"/>
          </w:tcPr>
          <w:p>
            <w:pPr>
              <w:jc w:val="center"/>
              <w:rPr>
                <w:rFonts w:ascii="宋体" w:hAnsi="宋体"/>
              </w:rPr>
            </w:pPr>
          </w:p>
        </w:tc>
        <w:tc>
          <w:tcPr>
            <w:tcW w:w="1440" w:type="dxa"/>
            <w:vAlign w:val="center"/>
          </w:tcPr>
          <w:p>
            <w:pPr>
              <w:jc w:val="center"/>
              <w:rPr>
                <w:rFonts w:hint="eastAsia" w:ascii="宋体" w:hAnsi="宋体"/>
              </w:rPr>
            </w:pPr>
            <w:r>
              <w:rPr>
                <w:rFonts w:hint="eastAsia" w:ascii="宋体" w:hAnsi="宋体"/>
              </w:rPr>
              <w:t>一</w:t>
            </w:r>
          </w:p>
        </w:tc>
        <w:tc>
          <w:tcPr>
            <w:tcW w:w="1440" w:type="dxa"/>
            <w:vAlign w:val="center"/>
          </w:tcPr>
          <w:p>
            <w:pPr>
              <w:jc w:val="center"/>
              <w:rPr>
                <w:rFonts w:hint="eastAsia" w:ascii="宋体" w:hAnsi="宋体"/>
              </w:rPr>
            </w:pPr>
            <w:r>
              <w:rPr>
                <w:rFonts w:hint="eastAsia" w:ascii="宋体" w:hAnsi="宋体"/>
              </w:rPr>
              <w:t>二</w:t>
            </w:r>
          </w:p>
        </w:tc>
        <w:tc>
          <w:tcPr>
            <w:tcW w:w="1440" w:type="dxa"/>
            <w:vAlign w:val="center"/>
          </w:tcPr>
          <w:p>
            <w:pPr>
              <w:jc w:val="center"/>
              <w:rPr>
                <w:rFonts w:hint="eastAsia" w:ascii="宋体" w:hAnsi="宋体"/>
              </w:rPr>
            </w:pPr>
            <w:r>
              <w:rPr>
                <w:rFonts w:hint="eastAsia" w:ascii="宋体" w:hAnsi="宋体"/>
              </w:rPr>
              <w:t>总　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0" w:hRule="atLeast"/>
          <w:jc w:val="center"/>
        </w:trPr>
        <w:tc>
          <w:tcPr>
            <w:tcW w:w="1009" w:type="dxa"/>
            <w:vAlign w:val="center"/>
          </w:tcPr>
          <w:p>
            <w:pPr>
              <w:jc w:val="center"/>
              <w:rPr>
                <w:rFonts w:hint="eastAsia" w:ascii="宋体" w:hAnsi="宋体"/>
              </w:rPr>
            </w:pPr>
            <w:r>
              <w:rPr>
                <w:rFonts w:hint="eastAsia" w:ascii="宋体" w:hAnsi="宋体"/>
              </w:rPr>
              <w:t>得　分</w:t>
            </w:r>
          </w:p>
        </w:tc>
        <w:tc>
          <w:tcPr>
            <w:tcW w:w="1440" w:type="dxa"/>
            <w:vAlign w:val="center"/>
          </w:tcPr>
          <w:p>
            <w:pPr>
              <w:jc w:val="center"/>
              <w:rPr>
                <w:rFonts w:ascii="宋体" w:hAnsi="宋体"/>
              </w:rPr>
            </w:pPr>
          </w:p>
        </w:tc>
        <w:tc>
          <w:tcPr>
            <w:tcW w:w="1440" w:type="dxa"/>
            <w:vAlign w:val="center"/>
          </w:tcPr>
          <w:p>
            <w:pPr>
              <w:jc w:val="center"/>
              <w:rPr>
                <w:rFonts w:ascii="宋体" w:hAnsi="宋体"/>
              </w:rPr>
            </w:pPr>
          </w:p>
        </w:tc>
        <w:tc>
          <w:tcPr>
            <w:tcW w:w="1440" w:type="dxa"/>
            <w:vAlign w:val="center"/>
          </w:tcPr>
          <w:p>
            <w:pPr>
              <w:jc w:val="center"/>
              <w:rPr>
                <w:rFonts w:ascii="宋体" w:hAnsi="宋体"/>
              </w:rPr>
            </w:pPr>
          </w:p>
        </w:tc>
      </w:tr>
    </w:tbl>
    <w:p>
      <w:pPr>
        <w:rPr>
          <w:rFonts w:ascii="宋体" w:hAnsi="宋体"/>
          <w:lang w:eastAsia="zh-CN"/>
        </w:rPr>
      </w:pPr>
    </w:p>
    <w:tbl>
      <w:tblPr>
        <w:tblStyle w:val="25"/>
        <w:tblW w:w="244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
      <w:tblGrid>
        <w:gridCol w:w="1008"/>
        <w:gridCol w:w="14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得　分</w:t>
            </w:r>
          </w:p>
        </w:tc>
        <w:tc>
          <w:tcPr>
            <w:tcW w:w="1440" w:type="dxa"/>
            <w:vAlign w:val="center"/>
          </w:tcPr>
          <w:p>
            <w:pPr>
              <w:keepNext/>
              <w:jc w:val="cente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评分人</w:t>
            </w:r>
          </w:p>
        </w:tc>
        <w:tc>
          <w:tcPr>
            <w:tcW w:w="1440" w:type="dxa"/>
            <w:vAlign w:val="center"/>
          </w:tcPr>
          <w:p>
            <w:pPr>
              <w:keepNext/>
              <w:jc w:val="center"/>
            </w:pPr>
          </w:p>
        </w:tc>
      </w:tr>
    </w:tbl>
    <w:p>
      <w:pPr>
        <w:pStyle w:val="71"/>
      </w:pPr>
      <w:r>
        <w:t>一、单选题（每题0.5分，共70分。）</w:t>
      </w:r>
    </w:p>
    <w:p>
      <w:pPr>
        <w:pStyle w:val="67"/>
      </w:pPr>
      <w:r>
        <w:t>1、职业道德的基本职能是（　　）。</w:t>
      </w:r>
    </w:p>
    <w:p>
      <w:pPr>
        <w:pStyle w:val="70"/>
      </w:pPr>
      <w:r>
        <w:tab/>
      </w:r>
      <w:r>
        <w:t>A、服务职能</w:t>
      </w:r>
      <w:r>
        <w:tab/>
      </w:r>
      <w:r>
        <w:t>B、调节职能</w:t>
      </w:r>
      <w:r>
        <w:tab/>
      </w:r>
      <w:r>
        <w:t>C、保证职能</w:t>
      </w:r>
      <w:r>
        <w:tab/>
      </w:r>
      <w:r>
        <w:t>D、协调职能</w:t>
      </w:r>
    </w:p>
    <w:p>
      <w:pPr>
        <w:pStyle w:val="67"/>
      </w:pPr>
      <w:r>
        <w:t>2、依据机动车检测职业道德的基本要求进行自我评价的能力，是机动车检测（　　）的含义之一。</w:t>
      </w:r>
    </w:p>
    <w:p>
      <w:pPr>
        <w:pStyle w:val="70"/>
      </w:pPr>
      <w:r>
        <w:tab/>
      </w:r>
      <w:r>
        <w:t>A、职业义务</w:t>
      </w:r>
      <w:r>
        <w:tab/>
      </w:r>
      <w:r>
        <w:t>B、职业责任</w:t>
      </w:r>
      <w:r>
        <w:tab/>
      </w:r>
      <w:r>
        <w:t>C、职业良心</w:t>
      </w:r>
      <w:r>
        <w:tab/>
      </w:r>
      <w:r>
        <w:t>D、职业道德</w:t>
      </w:r>
    </w:p>
    <w:p>
      <w:pPr>
        <w:pStyle w:val="67"/>
      </w:pPr>
      <w:r>
        <w:t>3、企业文化功能的是（　　）。</w:t>
      </w:r>
    </w:p>
    <w:p>
      <w:pPr>
        <w:pStyle w:val="69"/>
      </w:pPr>
      <w:r>
        <w:tab/>
      </w:r>
      <w:r>
        <w:t>A、整合功能</w:t>
      </w:r>
      <w:r>
        <w:tab/>
      </w:r>
      <w:r>
        <w:t>B、技术培训功能</w:t>
      </w:r>
    </w:p>
    <w:p>
      <w:pPr>
        <w:pStyle w:val="69"/>
      </w:pPr>
      <w:r>
        <w:tab/>
      </w:r>
      <w:r>
        <w:t>C、科学研究功能</w:t>
      </w:r>
      <w:r>
        <w:tab/>
      </w:r>
      <w:r>
        <w:t>D、社交功能</w:t>
      </w:r>
    </w:p>
    <w:p>
      <w:pPr>
        <w:pStyle w:val="67"/>
      </w:pPr>
      <w:r>
        <w:t>4、在职业交往活动中，符合仪表端庄具体要求的是（　　）。</w:t>
      </w:r>
    </w:p>
    <w:p>
      <w:pPr>
        <w:pStyle w:val="69"/>
      </w:pPr>
      <w:r>
        <w:tab/>
      </w:r>
      <w:r>
        <w:t>A、着装华贵</w:t>
      </w:r>
      <w:r>
        <w:tab/>
      </w:r>
      <w:r>
        <w:t>B、鞋袜等搭配合理</w:t>
      </w:r>
    </w:p>
    <w:p>
      <w:pPr>
        <w:pStyle w:val="69"/>
      </w:pPr>
      <w:r>
        <w:tab/>
      </w:r>
      <w:r>
        <w:t>C、饰品俏丽</w:t>
      </w:r>
      <w:r>
        <w:tab/>
      </w:r>
      <w:r>
        <w:t>D、发型要突个出性</w:t>
      </w:r>
    </w:p>
    <w:p>
      <w:pPr>
        <w:pStyle w:val="67"/>
      </w:pPr>
      <w:r>
        <w:t>5、在企业的活动中，（　　）不符合平等尊重的要求。</w:t>
      </w:r>
    </w:p>
    <w:p>
      <w:pPr>
        <w:pStyle w:val="68"/>
      </w:pPr>
      <w:r>
        <w:tab/>
      </w:r>
      <w:r>
        <w:t>A、根据员工技术专长进行分工</w:t>
      </w:r>
    </w:p>
    <w:p>
      <w:pPr>
        <w:pStyle w:val="68"/>
      </w:pPr>
      <w:r>
        <w:tab/>
      </w:r>
      <w:r>
        <w:t>B、对待不同服务对象采取一视同仁的服务态度</w:t>
      </w:r>
    </w:p>
    <w:p>
      <w:pPr>
        <w:pStyle w:val="68"/>
      </w:pPr>
      <w:r>
        <w:tab/>
      </w:r>
      <w:r>
        <w:t>C、师徒之间要平等和互相尊重</w:t>
      </w:r>
    </w:p>
    <w:p>
      <w:pPr>
        <w:pStyle w:val="68"/>
      </w:pPr>
      <w:r>
        <w:tab/>
      </w:r>
      <w:r>
        <w:t>D、取消员工之间的一切差别</w:t>
      </w:r>
    </w:p>
    <w:p>
      <w:pPr>
        <w:pStyle w:val="67"/>
      </w:pPr>
      <w:r>
        <w:t>6、不属于可撤销合同的是（　　）。</w:t>
      </w:r>
    </w:p>
    <w:p>
      <w:pPr>
        <w:pStyle w:val="69"/>
      </w:pPr>
      <w:r>
        <w:tab/>
      </w:r>
      <w:r>
        <w:t>A、依法订立的合同</w:t>
      </w:r>
      <w:r>
        <w:tab/>
      </w:r>
      <w:r>
        <w:t>B、显失公平的合同</w:t>
      </w:r>
    </w:p>
    <w:p>
      <w:pPr>
        <w:pStyle w:val="69"/>
      </w:pPr>
      <w:r>
        <w:tab/>
      </w:r>
      <w:r>
        <w:t>C、乘人之危订立的合同</w:t>
      </w:r>
      <w:r>
        <w:tab/>
      </w:r>
      <w:r>
        <w:t>D、因重大误解订立的合同</w:t>
      </w:r>
    </w:p>
    <w:p>
      <w:pPr>
        <w:pStyle w:val="67"/>
      </w:pPr>
      <w:r>
        <w:t>7、合同是由当事人在（　　）基础上意思表示一致而成立的。</w:t>
      </w:r>
    </w:p>
    <w:p>
      <w:pPr>
        <w:pStyle w:val="70"/>
      </w:pPr>
      <w:r>
        <w:tab/>
      </w:r>
      <w:r>
        <w:t>A、有领导关系</w:t>
      </w:r>
      <w:r>
        <w:tab/>
      </w:r>
      <w:r>
        <w:t>B、有亲属关系</w:t>
      </w:r>
      <w:r>
        <w:tab/>
      </w:r>
      <w:r>
        <w:t>C、平等</w:t>
      </w:r>
      <w:r>
        <w:tab/>
      </w:r>
      <w:r>
        <w:t>D、对立</w:t>
      </w:r>
    </w:p>
    <w:p>
      <w:pPr>
        <w:pStyle w:val="67"/>
      </w:pPr>
      <w:r>
        <w:t>8、市场经济条件下，（　　），不违反职业道德规范中关于诚实守信的要求。</w:t>
      </w:r>
    </w:p>
    <w:p>
      <w:pPr>
        <w:pStyle w:val="68"/>
      </w:pPr>
      <w:r>
        <w:tab/>
      </w:r>
      <w:r>
        <w:t>A、通过诚实合法劳动，实现利益最大化</w:t>
      </w:r>
    </w:p>
    <w:p>
      <w:pPr>
        <w:pStyle w:val="68"/>
      </w:pPr>
      <w:r>
        <w:tab/>
      </w:r>
      <w:r>
        <w:t>B、打进对手内部，增强竞争优势</w:t>
      </w:r>
    </w:p>
    <w:p>
      <w:pPr>
        <w:pStyle w:val="68"/>
      </w:pPr>
      <w:r>
        <w:tab/>
      </w:r>
      <w:r>
        <w:t>C、根据服务对象来决定是否遵守承诺</w:t>
      </w:r>
    </w:p>
    <w:p>
      <w:pPr>
        <w:pStyle w:val="68"/>
      </w:pPr>
      <w:r>
        <w:tab/>
      </w:r>
      <w:r>
        <w:t>D、凡有利于增大企业利益的行为就做</w:t>
      </w:r>
    </w:p>
    <w:p>
      <w:pPr>
        <w:pStyle w:val="67"/>
      </w:pPr>
      <w:r>
        <w:t>9、劳动保护制度不包括（　　）制度。</w:t>
      </w:r>
    </w:p>
    <w:p>
      <w:pPr>
        <w:pStyle w:val="69"/>
      </w:pPr>
      <w:r>
        <w:tab/>
      </w:r>
      <w:r>
        <w:t>A、劳动报酬</w:t>
      </w:r>
      <w:r>
        <w:tab/>
      </w:r>
      <w:r>
        <w:t>B、安全卫生</w:t>
      </w:r>
    </w:p>
    <w:p>
      <w:pPr>
        <w:pStyle w:val="69"/>
      </w:pPr>
      <w:r>
        <w:tab/>
      </w:r>
      <w:r>
        <w:t>C、对女职工保护</w:t>
      </w:r>
      <w:r>
        <w:tab/>
      </w:r>
      <w:r>
        <w:t>D、未成年工人保护</w:t>
      </w:r>
    </w:p>
    <w:p>
      <w:pPr>
        <w:pStyle w:val="67"/>
      </w:pPr>
      <w:r>
        <w:t>10、在火场的浓烟区被围困时，错误的做法是（　　）。</w:t>
      </w:r>
    </w:p>
    <w:p>
      <w:pPr>
        <w:pStyle w:val="69"/>
      </w:pPr>
      <w:r>
        <w:tab/>
      </w:r>
      <w:r>
        <w:t>A、短呼吸</w:t>
      </w:r>
      <w:r>
        <w:tab/>
      </w:r>
      <w:r>
        <w:t>B、将门窗锁好，以防浓烟进来</w:t>
      </w:r>
    </w:p>
    <w:p>
      <w:pPr>
        <w:pStyle w:val="69"/>
      </w:pPr>
      <w:r>
        <w:tab/>
      </w:r>
      <w:r>
        <w:t>C、低姿势行走</w:t>
      </w:r>
      <w:r>
        <w:tab/>
      </w:r>
      <w:r>
        <w:t>D、用湿毛巾捂住嘴</w:t>
      </w:r>
    </w:p>
    <w:p>
      <w:pPr>
        <w:pStyle w:val="67"/>
      </w:pPr>
      <w:r>
        <w:t>11、使用二氧化碳灭火器时,人应站在（　　）。</w:t>
      </w:r>
    </w:p>
    <w:p>
      <w:pPr>
        <w:pStyle w:val="70"/>
      </w:pPr>
      <w:r>
        <w:tab/>
      </w:r>
      <w:r>
        <w:t>A、下风位</w:t>
      </w:r>
      <w:r>
        <w:tab/>
      </w:r>
      <w:r>
        <w:t>B、无一定位置</w:t>
      </w:r>
      <w:r>
        <w:tab/>
      </w:r>
      <w:r>
        <w:t>C、上风位</w:t>
      </w:r>
      <w:r>
        <w:tab/>
      </w:r>
      <w:r>
        <w:t>D、上\下风位</w:t>
      </w:r>
    </w:p>
    <w:p>
      <w:pPr>
        <w:pStyle w:val="67"/>
      </w:pPr>
      <w:r>
        <w:t>12、生产安全事故发生后,首先要抢救受伤人员,并采取措施防止事故扩大,还要（　　）,给事故调查提供条件。</w:t>
      </w:r>
    </w:p>
    <w:p>
      <w:pPr>
        <w:pStyle w:val="70"/>
      </w:pPr>
      <w:r>
        <w:tab/>
      </w:r>
      <w:r>
        <w:t>A、清理现场</w:t>
      </w:r>
      <w:r>
        <w:tab/>
      </w:r>
      <w:r>
        <w:t>B、禁止拍照</w:t>
      </w:r>
      <w:r>
        <w:tab/>
      </w:r>
      <w:r>
        <w:t>C、保护现场</w:t>
      </w:r>
      <w:r>
        <w:tab/>
      </w:r>
      <w:r>
        <w:t>D、停产整顿</w:t>
      </w:r>
    </w:p>
    <w:p>
      <w:pPr>
        <w:pStyle w:val="67"/>
      </w:pPr>
      <w:r>
        <w:t>13、抢救失血伤员时，应先进行（　　）。</w:t>
      </w:r>
    </w:p>
    <w:p>
      <w:pPr>
        <w:pStyle w:val="70"/>
      </w:pPr>
      <w:r>
        <w:tab/>
      </w:r>
      <w:r>
        <w:t>A、包扎</w:t>
      </w:r>
      <w:r>
        <w:tab/>
      </w:r>
      <w:r>
        <w:t>B、询问</w:t>
      </w:r>
      <w:r>
        <w:tab/>
      </w:r>
      <w:r>
        <w:t>C、观察</w:t>
      </w:r>
      <w:r>
        <w:tab/>
      </w:r>
      <w:r>
        <w:t>D、止血</w:t>
      </w:r>
    </w:p>
    <w:p>
      <w:pPr>
        <w:pStyle w:val="67"/>
      </w:pPr>
      <w:r>
        <w:t>14、电工作业时，停电检修时不正确的操作是（　　）。</w:t>
      </w:r>
    </w:p>
    <w:p>
      <w:pPr>
        <w:pStyle w:val="69"/>
      </w:pPr>
      <w:r>
        <w:tab/>
      </w:r>
      <w:r>
        <w:t>A、断开检修段的电源总开</w:t>
      </w:r>
      <w:r>
        <w:tab/>
      </w:r>
      <w:r>
        <w:t>B、约时送电</w:t>
      </w:r>
    </w:p>
    <w:p>
      <w:pPr>
        <w:pStyle w:val="69"/>
      </w:pPr>
      <w:r>
        <w:tab/>
      </w:r>
      <w:r>
        <w:t>C、挂警告牌</w:t>
      </w:r>
      <w:r>
        <w:tab/>
      </w:r>
      <w:r>
        <w:t>D、清除零角废料</w:t>
      </w:r>
    </w:p>
    <w:p>
      <w:pPr>
        <w:pStyle w:val="67"/>
      </w:pPr>
      <w:r>
        <w:t>15、电容器充电时（　　）。</w:t>
      </w:r>
    </w:p>
    <w:p>
      <w:pPr>
        <w:pStyle w:val="69"/>
      </w:pPr>
      <w:r>
        <w:tab/>
      </w:r>
      <w:r>
        <w:t>A、两个极板都带正电</w:t>
      </w:r>
      <w:r>
        <w:tab/>
      </w:r>
      <w:r>
        <w:t>B、两个极板都带负电</w:t>
      </w:r>
    </w:p>
    <w:p>
      <w:pPr>
        <w:pStyle w:val="69"/>
      </w:pPr>
      <w:r>
        <w:tab/>
      </w:r>
      <w:r>
        <w:t>C、两个极板带相反电荷</w:t>
      </w:r>
      <w:r>
        <w:tab/>
      </w:r>
      <w:r>
        <w:t>D、两个极板都不带电</w:t>
      </w:r>
    </w:p>
    <w:p>
      <w:pPr>
        <w:pStyle w:val="67"/>
      </w:pPr>
      <w:r>
        <w:t>16、目前我国低压配电系统中，相电压的有效值是（　　）v。</w:t>
      </w:r>
    </w:p>
    <w:p>
      <w:pPr>
        <w:pStyle w:val="70"/>
      </w:pPr>
      <w:r>
        <w:tab/>
      </w:r>
      <w:r>
        <w:t>A、55</w:t>
      </w:r>
      <w:r>
        <w:tab/>
      </w:r>
      <w:r>
        <w:t>B、110</w:t>
      </w:r>
      <w:r>
        <w:tab/>
      </w:r>
      <w:r>
        <w:t>C、220</w:t>
      </w:r>
      <w:r>
        <w:tab/>
      </w:r>
      <w:r>
        <w:t>D、330</w:t>
      </w:r>
    </w:p>
    <w:p>
      <w:pPr>
        <w:pStyle w:val="67"/>
      </w:pPr>
      <w:r>
        <w:t>17、摩托车（正三轮摩托车除外）行车制动在产生最大制动作用时的踏板力应不大于400N，手握力不大于（　　）。</w:t>
      </w:r>
    </w:p>
    <w:p>
      <w:pPr>
        <w:pStyle w:val="70"/>
      </w:pPr>
      <w:r>
        <w:tab/>
      </w:r>
      <w:r>
        <w:t>A、250N</w:t>
      </w:r>
      <w:r>
        <w:tab/>
      </w:r>
      <w:r>
        <w:t>B、300N</w:t>
      </w:r>
      <w:r>
        <w:tab/>
      </w:r>
      <w:r>
        <w:t>C、350N</w:t>
      </w:r>
      <w:r>
        <w:tab/>
      </w:r>
      <w:r>
        <w:t>D、400N</w:t>
      </w:r>
    </w:p>
    <w:p>
      <w:pPr>
        <w:pStyle w:val="67"/>
      </w:pPr>
      <w:r>
        <w:t>18、模拟集成电路是处理（　　）的集成电路。</w:t>
      </w:r>
    </w:p>
    <w:p>
      <w:pPr>
        <w:pStyle w:val="70"/>
      </w:pPr>
      <w:r>
        <w:tab/>
      </w:r>
      <w:r>
        <w:t>A、数字信号</w:t>
      </w:r>
      <w:r>
        <w:tab/>
      </w:r>
      <w:r>
        <w:t>B、模拟信号</w:t>
      </w:r>
      <w:r>
        <w:tab/>
      </w:r>
      <w:r>
        <w:t>C、输入信号</w:t>
      </w:r>
      <w:r>
        <w:tab/>
      </w:r>
      <w:r>
        <w:t>D、输出信号</w:t>
      </w:r>
    </w:p>
    <w:p>
      <w:pPr>
        <w:pStyle w:val="67"/>
      </w:pPr>
      <w:r>
        <w:t>19、零件图的标题栏应包括零件的名称、材料、数量、图号和（　　）等内容。</w:t>
      </w:r>
    </w:p>
    <w:p>
      <w:pPr>
        <w:pStyle w:val="70"/>
      </w:pPr>
      <w:r>
        <w:tab/>
      </w:r>
      <w:r>
        <w:t>A、公差</w:t>
      </w:r>
      <w:r>
        <w:tab/>
      </w:r>
      <w:r>
        <w:t>B、比例</w:t>
      </w:r>
      <w:r>
        <w:tab/>
      </w:r>
      <w:r>
        <w:t>C、热处理</w:t>
      </w:r>
      <w:r>
        <w:tab/>
      </w:r>
      <w:r>
        <w:t>D、表面粗糙度</w:t>
      </w:r>
    </w:p>
    <w:p>
      <w:pPr>
        <w:pStyle w:val="67"/>
      </w:pPr>
      <w:r>
        <w:t>20、螺纹代号后加“LH”表示（　　）。</w:t>
      </w:r>
    </w:p>
    <w:p>
      <w:pPr>
        <w:pStyle w:val="70"/>
      </w:pPr>
      <w:r>
        <w:tab/>
      </w:r>
      <w:r>
        <w:t>A、粗牙螺纹</w:t>
      </w:r>
      <w:r>
        <w:tab/>
      </w:r>
      <w:r>
        <w:t>B、细牙螺纹</w:t>
      </w:r>
      <w:r>
        <w:tab/>
      </w:r>
      <w:r>
        <w:t>C、左旋螺纹</w:t>
      </w:r>
      <w:r>
        <w:tab/>
      </w:r>
      <w:r>
        <w:t>D、右旋螺纹</w:t>
      </w:r>
    </w:p>
    <w:p>
      <w:pPr>
        <w:pStyle w:val="67"/>
      </w:pPr>
      <w:r>
        <w:t>21、对中性高且对轴的削弱又不大的键联接是（　　）联接。</w:t>
      </w:r>
    </w:p>
    <w:p>
      <w:pPr>
        <w:pStyle w:val="70"/>
      </w:pPr>
      <w:r>
        <w:tab/>
      </w:r>
      <w:r>
        <w:t>A、普通平键</w:t>
      </w:r>
      <w:r>
        <w:tab/>
      </w:r>
      <w:r>
        <w:t>B、半圆键</w:t>
      </w:r>
      <w:r>
        <w:tab/>
      </w:r>
      <w:r>
        <w:t>C、楔键</w:t>
      </w:r>
      <w:r>
        <w:tab/>
      </w:r>
      <w:r>
        <w:t>D、切向键</w:t>
      </w:r>
    </w:p>
    <w:p>
      <w:pPr>
        <w:pStyle w:val="67"/>
      </w:pPr>
      <w:r>
        <w:t>22、（　　）用于发动机润滑油快速检测。</w:t>
      </w:r>
    </w:p>
    <w:p>
      <w:pPr>
        <w:pStyle w:val="69"/>
      </w:pPr>
      <w:r>
        <w:tab/>
      </w:r>
      <w:r>
        <w:t>A、润滑油质量分析仪</w:t>
      </w:r>
      <w:r>
        <w:tab/>
      </w:r>
      <w:r>
        <w:t>B、油压表</w:t>
      </w:r>
    </w:p>
    <w:p>
      <w:pPr>
        <w:pStyle w:val="69"/>
      </w:pPr>
      <w:r>
        <w:tab/>
      </w:r>
      <w:r>
        <w:t>C、发动机分析仪</w:t>
      </w:r>
      <w:r>
        <w:tab/>
      </w:r>
      <w:r>
        <w:t>D、尾气分析仪</w:t>
      </w:r>
    </w:p>
    <w:p>
      <w:pPr>
        <w:pStyle w:val="67"/>
      </w:pPr>
      <w:r>
        <w:t>23、汽车上采用的液压传动装置以容积式为工作原理的常称（　　）。</w:t>
      </w:r>
    </w:p>
    <w:p>
      <w:pPr>
        <w:pStyle w:val="70"/>
      </w:pPr>
      <w:r>
        <w:tab/>
      </w:r>
      <w:r>
        <w:t>A、液力传动</w:t>
      </w:r>
      <w:r>
        <w:tab/>
      </w:r>
      <w:r>
        <w:t>B、液压传动</w:t>
      </w:r>
      <w:r>
        <w:tab/>
      </w:r>
      <w:r>
        <w:t>C、气体传动</w:t>
      </w:r>
      <w:r>
        <w:tab/>
      </w:r>
      <w:r>
        <w:t>D、液体传动</w:t>
      </w:r>
    </w:p>
    <w:p>
      <w:pPr>
        <w:pStyle w:val="67"/>
      </w:pPr>
      <w:r>
        <w:t>24、液压缸按结构组成可以分为缸体组件、活塞组件、密封装置、缓冲装置和（　　）五个部分。</w:t>
      </w:r>
    </w:p>
    <w:p>
      <w:pPr>
        <w:pStyle w:val="70"/>
      </w:pPr>
      <w:r>
        <w:tab/>
      </w:r>
      <w:r>
        <w:t>A、曲轴组件</w:t>
      </w:r>
      <w:r>
        <w:tab/>
      </w:r>
      <w:r>
        <w:t>B、排气装置</w:t>
      </w:r>
      <w:r>
        <w:tab/>
      </w:r>
      <w:r>
        <w:t>C、凸轮轴组件</w:t>
      </w:r>
      <w:r>
        <w:tab/>
      </w:r>
      <w:r>
        <w:t>D、进气装置</w:t>
      </w:r>
    </w:p>
    <w:p>
      <w:pPr>
        <w:pStyle w:val="67"/>
      </w:pPr>
      <w:r>
        <w:t>25、微型计算机硬件系统的性能主要取决于（　　）。</w:t>
      </w:r>
    </w:p>
    <w:p>
      <w:pPr>
        <w:pStyle w:val="69"/>
      </w:pPr>
      <w:r>
        <w:tab/>
      </w:r>
      <w:r>
        <w:t>A、微处理器</w:t>
      </w:r>
      <w:r>
        <w:tab/>
      </w:r>
      <w:r>
        <w:t>B、内存储器</w:t>
      </w:r>
    </w:p>
    <w:p>
      <w:pPr>
        <w:pStyle w:val="69"/>
      </w:pPr>
      <w:r>
        <w:tab/>
      </w:r>
      <w:r>
        <w:t>C、显示适配卡</w:t>
      </w:r>
      <w:r>
        <w:tab/>
      </w:r>
      <w:r>
        <w:t>D、硬磁盘存储器</w:t>
      </w:r>
    </w:p>
    <w:p>
      <w:pPr>
        <w:pStyle w:val="67"/>
      </w:pPr>
      <w:r>
        <w:t>26、一个完整的计算机系统应包括（　　）。</w:t>
      </w:r>
    </w:p>
    <w:p>
      <w:pPr>
        <w:pStyle w:val="68"/>
      </w:pPr>
      <w:r>
        <w:tab/>
      </w:r>
      <w:r>
        <w:t>A、系统硬件和系统软件</w:t>
      </w:r>
    </w:p>
    <w:p>
      <w:pPr>
        <w:pStyle w:val="68"/>
      </w:pPr>
      <w:r>
        <w:tab/>
      </w:r>
      <w:r>
        <w:t>B、硬件系统和软件系统</w:t>
      </w:r>
    </w:p>
    <w:p>
      <w:pPr>
        <w:pStyle w:val="68"/>
      </w:pPr>
      <w:r>
        <w:tab/>
      </w:r>
      <w:r>
        <w:t>C、主机和外部设备</w:t>
      </w:r>
    </w:p>
    <w:p>
      <w:pPr>
        <w:pStyle w:val="68"/>
      </w:pPr>
      <w:r>
        <w:tab/>
      </w:r>
      <w:r>
        <w:t>D、主机、键盘、显示器和辅助存储器</w:t>
      </w:r>
    </w:p>
    <w:p>
      <w:pPr>
        <w:pStyle w:val="67"/>
      </w:pPr>
      <w:r>
        <w:t>27、下列存储器中，存取速度最快的是（　　）。</w:t>
      </w:r>
    </w:p>
    <w:p>
      <w:pPr>
        <w:pStyle w:val="69"/>
      </w:pPr>
      <w:r>
        <w:tab/>
      </w:r>
      <w:r>
        <w:t>A、软磁盘存储器</w:t>
      </w:r>
      <w:r>
        <w:tab/>
      </w:r>
      <w:r>
        <w:t>B、硬磁盘存储器</w:t>
      </w:r>
    </w:p>
    <w:p>
      <w:pPr>
        <w:pStyle w:val="69"/>
      </w:pPr>
      <w:r>
        <w:tab/>
      </w:r>
      <w:r>
        <w:t>C、光盘存储器</w:t>
      </w:r>
      <w:r>
        <w:tab/>
      </w:r>
      <w:r>
        <w:t>D、内存储器</w:t>
      </w:r>
    </w:p>
    <w:p>
      <w:pPr>
        <w:pStyle w:val="67"/>
      </w:pPr>
      <w:r>
        <w:t>28、对于非独立悬架，（　　）是影响乘员舒适性的主要因素。</w:t>
      </w:r>
    </w:p>
    <w:p>
      <w:pPr>
        <w:pStyle w:val="70"/>
      </w:pPr>
      <w:r>
        <w:tab/>
      </w:r>
      <w:r>
        <w:t>A、钢板弹簧</w:t>
      </w:r>
      <w:r>
        <w:tab/>
      </w:r>
      <w:r>
        <w:t>B、轴</w:t>
      </w:r>
      <w:r>
        <w:tab/>
      </w:r>
      <w:r>
        <w:t>C、车轮</w:t>
      </w:r>
      <w:r>
        <w:tab/>
      </w:r>
      <w:r>
        <w:t>D、轮胎</w:t>
      </w:r>
    </w:p>
    <w:p>
      <w:pPr>
        <w:pStyle w:val="67"/>
      </w:pPr>
      <w:r>
        <w:t>29、下列计量单位符号中，哪些属于长度计量单位符号：（　　）</w:t>
      </w:r>
    </w:p>
    <w:p>
      <w:pPr>
        <w:pStyle w:val="70"/>
      </w:pPr>
      <w:r>
        <w:tab/>
      </w:r>
      <w:r>
        <w:t>A、μm</w:t>
      </w:r>
      <w:r>
        <w:tab/>
      </w:r>
      <w:r>
        <w:t>B、mile</w:t>
      </w:r>
      <w:r>
        <w:tab/>
      </w:r>
      <w:r>
        <w:t>C、B都正确</w:t>
      </w:r>
      <w:r>
        <w:tab/>
      </w:r>
      <w:r>
        <w:t>D、B都不正确</w:t>
      </w:r>
    </w:p>
    <w:p>
      <w:pPr>
        <w:pStyle w:val="67"/>
      </w:pPr>
      <w:r>
        <w:t>30、偶然误差的消除方法是（　　）。</w:t>
      </w:r>
    </w:p>
    <w:p>
      <w:pPr>
        <w:pStyle w:val="69"/>
      </w:pPr>
      <w:r>
        <w:tab/>
      </w:r>
      <w:r>
        <w:t>A、舍弃</w:t>
      </w:r>
      <w:r>
        <w:tab/>
      </w:r>
      <w:r>
        <w:t>B、校准仪器</w:t>
      </w:r>
    </w:p>
    <w:p>
      <w:pPr>
        <w:pStyle w:val="69"/>
      </w:pPr>
      <w:r>
        <w:tab/>
      </w:r>
      <w:r>
        <w:t>C、改进测量方法</w:t>
      </w:r>
      <w:r>
        <w:tab/>
      </w:r>
      <w:r>
        <w:t>D、多次重复测量取其平均值</w:t>
      </w:r>
    </w:p>
    <w:p>
      <w:pPr>
        <w:pStyle w:val="67"/>
      </w:pPr>
      <w:r>
        <w:t>31、发动机是汽车的动力装置，它将燃烧放出的热能转变为机械能，通过底盘的（　　）驱动汽车行驶。</w:t>
      </w:r>
    </w:p>
    <w:p>
      <w:pPr>
        <w:pStyle w:val="70"/>
      </w:pPr>
      <w:r>
        <w:tab/>
      </w:r>
      <w:r>
        <w:t>A、传动系</w:t>
      </w:r>
      <w:r>
        <w:tab/>
      </w:r>
      <w:r>
        <w:t>B、转向系</w:t>
      </w:r>
      <w:r>
        <w:tab/>
      </w:r>
      <w:r>
        <w:t>C、行驶系</w:t>
      </w:r>
      <w:r>
        <w:tab/>
      </w:r>
      <w:r>
        <w:t>D、制动系</w:t>
      </w:r>
    </w:p>
    <w:p>
      <w:pPr>
        <w:pStyle w:val="67"/>
      </w:pPr>
      <w:r>
        <w:t>32、就车式平衡机按（　　）原理工作。</w:t>
      </w:r>
    </w:p>
    <w:p>
      <w:pPr>
        <w:pStyle w:val="69"/>
      </w:pPr>
      <w:r>
        <w:tab/>
      </w:r>
      <w:r>
        <w:t>A、静平衡</w:t>
      </w:r>
      <w:r>
        <w:tab/>
      </w:r>
      <w:r>
        <w:t>B、动平衡</w:t>
      </w:r>
    </w:p>
    <w:p>
      <w:pPr>
        <w:pStyle w:val="69"/>
      </w:pPr>
      <w:r>
        <w:tab/>
      </w:r>
      <w:r>
        <w:t>C、平衡块</w:t>
      </w:r>
      <w:r>
        <w:tab/>
      </w:r>
      <w:r>
        <w:t>D、以上说法均不对</w:t>
      </w:r>
    </w:p>
    <w:p>
      <w:pPr>
        <w:pStyle w:val="67"/>
      </w:pPr>
      <w:r>
        <w:t>33、轿车车身一般采用的形式是（　　）。</w:t>
      </w:r>
    </w:p>
    <w:p>
      <w:pPr>
        <w:pStyle w:val="69"/>
      </w:pPr>
      <w:r>
        <w:tab/>
      </w:r>
      <w:r>
        <w:t>A、承载式</w:t>
      </w:r>
      <w:r>
        <w:tab/>
      </w:r>
      <w:r>
        <w:t>B、非承载式</w:t>
      </w:r>
    </w:p>
    <w:p>
      <w:pPr>
        <w:pStyle w:val="69"/>
      </w:pPr>
      <w:r>
        <w:tab/>
      </w:r>
      <w:r>
        <w:t>C、3／4承载式</w:t>
      </w:r>
      <w:r>
        <w:tab/>
      </w:r>
      <w:r>
        <w:t>D、半承载式</w:t>
      </w:r>
    </w:p>
    <w:p>
      <w:pPr>
        <w:pStyle w:val="67"/>
      </w:pPr>
      <w:r>
        <w:t>34、轿车和货车驾驶室广泛采用（　　）车身。</w:t>
      </w:r>
    </w:p>
    <w:p>
      <w:pPr>
        <w:pStyle w:val="69"/>
      </w:pPr>
      <w:r>
        <w:tab/>
      </w:r>
      <w:r>
        <w:t>A、半骨架式</w:t>
      </w:r>
      <w:r>
        <w:tab/>
      </w:r>
      <w:r>
        <w:t>B、无骨架式</w:t>
      </w:r>
    </w:p>
    <w:p>
      <w:pPr>
        <w:pStyle w:val="69"/>
      </w:pPr>
      <w:r>
        <w:tab/>
      </w:r>
      <w:r>
        <w:t>C、骨架式</w:t>
      </w:r>
      <w:r>
        <w:tab/>
      </w:r>
      <w:r>
        <w:t>D、3／4骨架式</w:t>
      </w:r>
    </w:p>
    <w:p>
      <w:pPr>
        <w:pStyle w:val="67"/>
      </w:pPr>
      <w:r>
        <w:t>35、电器元件在检查测量之前应将点火开关（　　）。</w:t>
      </w:r>
    </w:p>
    <w:p>
      <w:pPr>
        <w:pStyle w:val="70"/>
      </w:pPr>
      <w:r>
        <w:tab/>
      </w:r>
      <w:r>
        <w:t>A、分解</w:t>
      </w:r>
      <w:r>
        <w:tab/>
      </w:r>
      <w:r>
        <w:t>B、关闭</w:t>
      </w:r>
      <w:r>
        <w:tab/>
      </w:r>
      <w:r>
        <w:t>C、拆卸</w:t>
      </w:r>
      <w:r>
        <w:tab/>
      </w:r>
      <w:r>
        <w:t>D、打开</w:t>
      </w:r>
    </w:p>
    <w:p>
      <w:pPr>
        <w:pStyle w:val="67"/>
      </w:pPr>
      <w:r>
        <w:t>36、我国汽车电气设备电路采用（　　）。</w:t>
      </w:r>
    </w:p>
    <w:p>
      <w:pPr>
        <w:pStyle w:val="69"/>
      </w:pPr>
      <w:r>
        <w:tab/>
      </w:r>
      <w:r>
        <w:t>A、串联</w:t>
      </w:r>
      <w:r>
        <w:tab/>
      </w:r>
      <w:r>
        <w:t>B、单线负极搭铁</w:t>
      </w:r>
    </w:p>
    <w:p>
      <w:pPr>
        <w:pStyle w:val="69"/>
      </w:pPr>
      <w:r>
        <w:tab/>
      </w:r>
      <w:r>
        <w:t>C、正极搭铁</w:t>
      </w:r>
      <w:r>
        <w:tab/>
      </w:r>
      <w:r>
        <w:t>D、双线</w:t>
      </w:r>
    </w:p>
    <w:p>
      <w:pPr>
        <w:pStyle w:val="67"/>
      </w:pPr>
      <w:r>
        <w:t>37、电控发动机燃油喷射系统中的怠速旁通阀是（　　）系统组成部分。</w:t>
      </w:r>
    </w:p>
    <w:p>
      <w:pPr>
        <w:pStyle w:val="70"/>
      </w:pPr>
      <w:r>
        <w:tab/>
      </w:r>
      <w:r>
        <w:t>A、供气</w:t>
      </w:r>
      <w:r>
        <w:tab/>
      </w:r>
      <w:r>
        <w:t>B、供油</w:t>
      </w:r>
      <w:r>
        <w:tab/>
      </w:r>
      <w:r>
        <w:t>C、控制</w:t>
      </w:r>
      <w:r>
        <w:tab/>
      </w:r>
      <w:r>
        <w:t>D、空调</w:t>
      </w:r>
    </w:p>
    <w:p>
      <w:pPr>
        <w:pStyle w:val="67"/>
      </w:pPr>
      <w:r>
        <w:t>38、有内胎充气轮胎由于帘布层的结构不同可分为（　　）。</w:t>
      </w:r>
    </w:p>
    <w:p>
      <w:pPr>
        <w:pStyle w:val="69"/>
      </w:pPr>
      <w:r>
        <w:tab/>
      </w:r>
      <w:r>
        <w:t>A、高压轮胎和低压轮胎</w:t>
      </w:r>
      <w:r>
        <w:tab/>
      </w:r>
      <w:r>
        <w:t>B、普通花纹轮胎和混合花纹轮胎</w:t>
      </w:r>
    </w:p>
    <w:p>
      <w:pPr>
        <w:pStyle w:val="69"/>
      </w:pPr>
      <w:r>
        <w:tab/>
      </w:r>
      <w:r>
        <w:t>C、有内胎轮胎和无内胎轮胎</w:t>
      </w:r>
      <w:r>
        <w:tab/>
      </w:r>
      <w:r>
        <w:t>D、子午线轮胎和普通斜交轮胎</w:t>
      </w:r>
    </w:p>
    <w:p>
      <w:pPr>
        <w:pStyle w:val="67"/>
      </w:pPr>
      <w:r>
        <w:t>39、汽车的加速能力常用（　　）来评价。</w:t>
      </w:r>
    </w:p>
    <w:p>
      <w:pPr>
        <w:pStyle w:val="69"/>
      </w:pPr>
      <w:r>
        <w:tab/>
      </w:r>
      <w:r>
        <w:t>A、加速度</w:t>
      </w:r>
      <w:r>
        <w:tab/>
      </w:r>
      <w:r>
        <w:t>B、最大车速</w:t>
      </w:r>
    </w:p>
    <w:p>
      <w:pPr>
        <w:pStyle w:val="69"/>
      </w:pPr>
      <w:r>
        <w:tab/>
      </w:r>
      <w:r>
        <w:t>C、汽车加速时间</w:t>
      </w:r>
      <w:r>
        <w:tab/>
      </w:r>
      <w:r>
        <w:t>D、以上都不对</w:t>
      </w:r>
    </w:p>
    <w:p>
      <w:pPr>
        <w:pStyle w:val="67"/>
      </w:pPr>
      <w:r>
        <w:t>40、动力性检测的额定功率工况适用于压燃式发动机车辆，额定扭矩工况适用于（　　）车辆。</w:t>
      </w:r>
    </w:p>
    <w:p>
      <w:pPr>
        <w:pStyle w:val="69"/>
      </w:pPr>
      <w:r>
        <w:tab/>
      </w:r>
      <w:r>
        <w:t>A、油电混合</w:t>
      </w:r>
      <w:r>
        <w:tab/>
      </w:r>
      <w:r>
        <w:t>B、压燃式发动机</w:t>
      </w:r>
    </w:p>
    <w:p>
      <w:pPr>
        <w:pStyle w:val="69"/>
      </w:pPr>
      <w:r>
        <w:tab/>
      </w:r>
      <w:r>
        <w:t>C、点燃式发动机</w:t>
      </w:r>
      <w:r>
        <w:tab/>
      </w:r>
      <w:r>
        <w:t>D、纯电动</w:t>
      </w:r>
    </w:p>
    <w:p>
      <w:pPr>
        <w:pStyle w:val="67"/>
      </w:pPr>
      <w:r>
        <w:t>41、对台试检验行车制动性能的要求描述正确的是（　　）</w:t>
      </w:r>
    </w:p>
    <w:p>
      <w:pPr>
        <w:pStyle w:val="68"/>
      </w:pPr>
      <w:r>
        <w:tab/>
      </w:r>
      <w:r>
        <w:t>A、摩托车的前、后轴制动力测试时只准许乘坐一名驾驶人</w:t>
      </w:r>
    </w:p>
    <w:p>
      <w:pPr>
        <w:pStyle w:val="68"/>
      </w:pPr>
      <w:r>
        <w:tab/>
      </w:r>
      <w:r>
        <w:t>B、用平板制动检验台检验乘用车、其他总质量小于等于3500kg的汽车时用各静态轮荷之和计算</w:t>
      </w:r>
    </w:p>
    <w:p>
      <w:pPr>
        <w:pStyle w:val="68"/>
      </w:pPr>
      <w:r>
        <w:tab/>
      </w:r>
      <w:r>
        <w:t>C、对总质量小于等于整备质量的1.2 倍的专项作业车其制动力总和与整车重量的百分比应大于等于60%.</w:t>
      </w:r>
    </w:p>
    <w:p>
      <w:pPr>
        <w:pStyle w:val="68"/>
      </w:pPr>
      <w:r>
        <w:tab/>
      </w:r>
      <w:r>
        <w:t>D、台试制动力平衡要求对新车和在用车一样.</w:t>
      </w:r>
    </w:p>
    <w:p>
      <w:pPr>
        <w:pStyle w:val="67"/>
      </w:pPr>
      <w:r>
        <w:t>42、汽车制动性能的评价指标为（　　）。</w:t>
      </w:r>
    </w:p>
    <w:p>
      <w:pPr>
        <w:pStyle w:val="68"/>
      </w:pPr>
      <w:r>
        <w:tab/>
      </w:r>
      <w:r>
        <w:t>A、制动效能</w:t>
      </w:r>
    </w:p>
    <w:p>
      <w:pPr>
        <w:pStyle w:val="68"/>
      </w:pPr>
      <w:r>
        <w:tab/>
      </w:r>
      <w:r>
        <w:t>B、制动器结构型式</w:t>
      </w:r>
    </w:p>
    <w:p>
      <w:pPr>
        <w:pStyle w:val="68"/>
      </w:pPr>
      <w:r>
        <w:tab/>
      </w:r>
      <w:r>
        <w:t>C、制动效能及当制动时的恒定性和稳定性</w:t>
      </w:r>
    </w:p>
    <w:p>
      <w:pPr>
        <w:pStyle w:val="68"/>
      </w:pPr>
      <w:r>
        <w:tab/>
      </w:r>
      <w:r>
        <w:t>D、制动压力大小</w:t>
      </w:r>
    </w:p>
    <w:p>
      <w:pPr>
        <w:pStyle w:val="67"/>
      </w:pPr>
      <w:r>
        <w:t>43、评价汽车制动性能的指标主要有（　　）等。</w:t>
      </w:r>
    </w:p>
    <w:p>
      <w:pPr>
        <w:pStyle w:val="69"/>
      </w:pPr>
      <w:r>
        <w:tab/>
      </w:r>
      <w:r>
        <w:t>A、制动距离</w:t>
      </w:r>
      <w:r>
        <w:tab/>
      </w:r>
      <w:r>
        <w:t>B、制动力</w:t>
      </w:r>
    </w:p>
    <w:p>
      <w:pPr>
        <w:pStyle w:val="69"/>
      </w:pPr>
      <w:r>
        <w:tab/>
      </w:r>
      <w:r>
        <w:t>C、制动减速度</w:t>
      </w:r>
      <w:r>
        <w:tab/>
      </w:r>
      <w:r>
        <w:t>D、B、C都正确</w:t>
      </w:r>
    </w:p>
    <w:p>
      <w:pPr>
        <w:pStyle w:val="67"/>
      </w:pPr>
      <w:r>
        <w:t>44、（　　）是对《中华人民共和国道路交通安全法》的细化规定。</w:t>
      </w:r>
    </w:p>
    <w:p>
      <w:pPr>
        <w:pStyle w:val="68"/>
      </w:pPr>
      <w:r>
        <w:tab/>
      </w:r>
      <w:r>
        <w:t>A、《中华人民共和国计量法》</w:t>
      </w:r>
    </w:p>
    <w:p>
      <w:pPr>
        <w:pStyle w:val="68"/>
      </w:pPr>
      <w:r>
        <w:tab/>
      </w:r>
      <w:r>
        <w:t>B、GB7258-2017《机动车运行安全技术条件》</w:t>
      </w:r>
    </w:p>
    <w:p>
      <w:pPr>
        <w:pStyle w:val="68"/>
      </w:pPr>
      <w:r>
        <w:tab/>
      </w:r>
      <w:r>
        <w:t>C、《中华人民共和国道路交通安全法实施条列》</w:t>
      </w:r>
    </w:p>
    <w:p>
      <w:pPr>
        <w:pStyle w:val="68"/>
      </w:pPr>
      <w:r>
        <w:tab/>
      </w:r>
      <w:r>
        <w:t>D、GB39800-2020《机动车安全技术检验项目和方法》</w:t>
      </w:r>
    </w:p>
    <w:p>
      <w:pPr>
        <w:pStyle w:val="67"/>
      </w:pPr>
      <w:r>
        <w:t>45、《中华人民共和国道路交通安全法及实施条列》对（　　）以及拖拉机安全技术检验相关要求做出了规定。</w:t>
      </w:r>
    </w:p>
    <w:p>
      <w:pPr>
        <w:pStyle w:val="68"/>
      </w:pPr>
      <w:r>
        <w:tab/>
      </w:r>
      <w:r>
        <w:t>A、机动车安全技术检验机构的法律责任</w:t>
      </w:r>
    </w:p>
    <w:p>
      <w:pPr>
        <w:pStyle w:val="68"/>
      </w:pPr>
      <w:r>
        <w:tab/>
      </w:r>
      <w:r>
        <w:t>B、技术监督部门的责任</w:t>
      </w:r>
    </w:p>
    <w:p>
      <w:pPr>
        <w:pStyle w:val="68"/>
      </w:pPr>
      <w:r>
        <w:tab/>
      </w:r>
      <w:r>
        <w:t>C、机动车安全技术检验项目</w:t>
      </w:r>
    </w:p>
    <w:p>
      <w:pPr>
        <w:pStyle w:val="68"/>
      </w:pPr>
      <w:r>
        <w:tab/>
      </w:r>
      <w:r>
        <w:t>D、B、C都正确</w:t>
      </w:r>
    </w:p>
    <w:p>
      <w:pPr>
        <w:pStyle w:val="67"/>
      </w:pPr>
      <w:r>
        <w:t>46、安全技术检验人员需要具有一定的（　　），经过省级质量技术监督部门的考核合格，取得相应的上岗资质。</w:t>
      </w:r>
    </w:p>
    <w:p>
      <w:pPr>
        <w:pStyle w:val="69"/>
      </w:pPr>
      <w:r>
        <w:tab/>
      </w:r>
      <w:r>
        <w:t>A、学历</w:t>
      </w:r>
      <w:r>
        <w:tab/>
      </w:r>
      <w:r>
        <w:t>B、专业知识</w:t>
      </w:r>
    </w:p>
    <w:p>
      <w:pPr>
        <w:pStyle w:val="69"/>
      </w:pPr>
      <w:r>
        <w:tab/>
      </w:r>
      <w:r>
        <w:t>C、专业技能</w:t>
      </w:r>
      <w:r>
        <w:tab/>
      </w:r>
      <w:r>
        <w:t>D、B、C都正确</w:t>
      </w:r>
    </w:p>
    <w:p>
      <w:pPr>
        <w:pStyle w:val="67"/>
      </w:pPr>
      <w:r>
        <w:t>47、申请取得安检机构检验资格应当具备：检验厂房（　　），检测线布置合理，便于流水作业。</w:t>
      </w:r>
    </w:p>
    <w:p>
      <w:pPr>
        <w:pStyle w:val="69"/>
      </w:pPr>
      <w:r>
        <w:tab/>
      </w:r>
      <w:r>
        <w:t>A、宽敞、明亮、防雨</w:t>
      </w:r>
      <w:r>
        <w:tab/>
      </w:r>
      <w:r>
        <w:t>B、通风设备完好</w:t>
      </w:r>
    </w:p>
    <w:p>
      <w:pPr>
        <w:pStyle w:val="69"/>
      </w:pPr>
      <w:r>
        <w:tab/>
      </w:r>
      <w:r>
        <w:t>C、照明设备完好</w:t>
      </w:r>
      <w:r>
        <w:tab/>
      </w:r>
      <w:r>
        <w:t>D、B、C都正确</w:t>
      </w:r>
    </w:p>
    <w:p>
      <w:pPr>
        <w:pStyle w:val="67"/>
      </w:pPr>
      <w:r>
        <w:t>48、GB38900-2020适用于具备检验检测资质的机构对（　　）进行安全技术检验。</w:t>
      </w:r>
    </w:p>
    <w:p>
      <w:pPr>
        <w:pStyle w:val="69"/>
      </w:pPr>
      <w:r>
        <w:tab/>
      </w:r>
      <w:r>
        <w:t>A、机动车</w:t>
      </w:r>
      <w:r>
        <w:tab/>
      </w:r>
      <w:r>
        <w:t>B、自行车</w:t>
      </w:r>
    </w:p>
    <w:p>
      <w:pPr>
        <w:pStyle w:val="69"/>
      </w:pPr>
      <w:r>
        <w:tab/>
      </w:r>
      <w:r>
        <w:t>C、火车</w:t>
      </w:r>
      <w:r>
        <w:tab/>
      </w:r>
      <w:r>
        <w:t>D、拖拉机运输机组</w:t>
      </w:r>
    </w:p>
    <w:p>
      <w:pPr>
        <w:pStyle w:val="67"/>
      </w:pPr>
      <w:r>
        <w:t>49、GB38900-2020代替（　　）</w:t>
      </w:r>
    </w:p>
    <w:p>
      <w:pPr>
        <w:pStyle w:val="68"/>
      </w:pPr>
      <w:r>
        <w:tab/>
      </w:r>
      <w:r>
        <w:t>A、GB18565-2016，JT/T198-2016</w:t>
      </w:r>
    </w:p>
    <w:p>
      <w:pPr>
        <w:pStyle w:val="68"/>
      </w:pPr>
      <w:r>
        <w:tab/>
      </w:r>
      <w:r>
        <w:t>B、GB21861-2014，GB1589-2016</w:t>
      </w:r>
    </w:p>
    <w:p>
      <w:pPr>
        <w:pStyle w:val="68"/>
      </w:pPr>
      <w:r>
        <w:tab/>
      </w:r>
      <w:r>
        <w:t>C、GB21861-2014，GB18565-2016</w:t>
      </w:r>
    </w:p>
    <w:p>
      <w:pPr>
        <w:pStyle w:val="68"/>
      </w:pPr>
      <w:r>
        <w:tab/>
      </w:r>
      <w:r>
        <w:t>D、GB21861-2014，GB7258-2017</w:t>
      </w:r>
    </w:p>
    <w:p>
      <w:pPr>
        <w:pStyle w:val="67"/>
      </w:pPr>
      <w:r>
        <w:t>50、乘用车的座位数不超过（　　）座。</w:t>
      </w:r>
    </w:p>
    <w:p>
      <w:pPr>
        <w:pStyle w:val="70"/>
      </w:pPr>
      <w:r>
        <w:tab/>
      </w:r>
      <w:r>
        <w:t>A、＜9</w:t>
      </w:r>
      <w:r>
        <w:tab/>
      </w:r>
      <w:r>
        <w:t>B、5</w:t>
      </w:r>
      <w:r>
        <w:tab/>
      </w:r>
      <w:r>
        <w:t>C、16</w:t>
      </w:r>
      <w:r>
        <w:tab/>
      </w:r>
      <w:r>
        <w:t>D、20</w:t>
      </w:r>
    </w:p>
    <w:p>
      <w:pPr>
        <w:pStyle w:val="67"/>
      </w:pPr>
      <w:r>
        <w:t>51、以下哪一种情况可以不用安装安全带（　　）。</w:t>
      </w:r>
    </w:p>
    <w:p>
      <w:pPr>
        <w:pStyle w:val="68"/>
      </w:pPr>
      <w:r>
        <w:tab/>
      </w:r>
      <w:r>
        <w:t>A、最大车速小于100km/h的载货汽车</w:t>
      </w:r>
    </w:p>
    <w:p>
      <w:pPr>
        <w:pStyle w:val="68"/>
      </w:pPr>
      <w:r>
        <w:tab/>
      </w:r>
      <w:r>
        <w:t>B、长途客车驾驶员座椅</w:t>
      </w:r>
    </w:p>
    <w:p>
      <w:pPr>
        <w:pStyle w:val="68"/>
      </w:pPr>
      <w:r>
        <w:tab/>
      </w:r>
      <w:r>
        <w:t>C、长途客车和旅游客车前面没有座椅或护栏的座椅</w:t>
      </w:r>
    </w:p>
    <w:p>
      <w:pPr>
        <w:pStyle w:val="68"/>
      </w:pPr>
      <w:r>
        <w:tab/>
      </w:r>
      <w:r>
        <w:t>D、车长小于6m的载客汽车的前排座椅</w:t>
      </w:r>
    </w:p>
    <w:p>
      <w:pPr>
        <w:pStyle w:val="67"/>
      </w:pPr>
      <w:r>
        <w:t>52、越野车类别代号是（　　）。</w:t>
      </w:r>
    </w:p>
    <w:p>
      <w:pPr>
        <w:pStyle w:val="70"/>
      </w:pPr>
      <w:r>
        <w:tab/>
      </w:r>
      <w:r>
        <w:t>A、1</w:t>
      </w:r>
      <w:r>
        <w:tab/>
      </w:r>
      <w:r>
        <w:t>B、2</w:t>
      </w:r>
      <w:r>
        <w:tab/>
      </w:r>
      <w:r>
        <w:t>C、3</w:t>
      </w:r>
      <w:r>
        <w:tab/>
      </w:r>
      <w:r>
        <w:t>D、4</w:t>
      </w:r>
    </w:p>
    <w:p>
      <w:pPr>
        <w:pStyle w:val="67"/>
      </w:pPr>
      <w:r>
        <w:t>53、车辆唯一性认定时送检机动车应停放在指定位置，（　　）。</w:t>
      </w:r>
    </w:p>
    <w:p>
      <w:pPr>
        <w:pStyle w:val="70"/>
      </w:pPr>
      <w:r>
        <w:tab/>
      </w:r>
      <w:r>
        <w:t>A、发动机怠速</w:t>
      </w:r>
      <w:r>
        <w:tab/>
      </w:r>
      <w:r>
        <w:t>B、发动机停转</w:t>
      </w:r>
      <w:r>
        <w:tab/>
      </w:r>
      <w:r>
        <w:t>C、发动机运转</w:t>
      </w:r>
      <w:r>
        <w:tab/>
      </w:r>
      <w:r>
        <w:t>D、发动机熄火</w:t>
      </w:r>
    </w:p>
    <w:p>
      <w:pPr>
        <w:pStyle w:val="67"/>
      </w:pPr>
      <w:r>
        <w:t>54、车辆唯一性认定时发现送检机动车的外廓尺寸、后悬及整备质量、核载、比功率等主要特征及技术参数、技术指标不符合GB7258等机动车国家安全技术标准或与公告的数据不一致时，此次（　　）。</w:t>
      </w:r>
    </w:p>
    <w:p>
      <w:pPr>
        <w:pStyle w:val="69"/>
      </w:pPr>
      <w:r>
        <w:tab/>
      </w:r>
      <w:r>
        <w:t>A、安全技术检验暂停</w:t>
      </w:r>
      <w:r>
        <w:tab/>
      </w:r>
      <w:r>
        <w:t>B、安全技术检验终止</w:t>
      </w:r>
    </w:p>
    <w:p>
      <w:pPr>
        <w:pStyle w:val="69"/>
      </w:pPr>
      <w:r>
        <w:tab/>
      </w:r>
      <w:r>
        <w:t>C、安全技术检验继续进行</w:t>
      </w:r>
      <w:r>
        <w:tab/>
      </w:r>
      <w:r>
        <w:t>D、安全技术检验立即停止</w:t>
      </w:r>
    </w:p>
    <w:p>
      <w:pPr>
        <w:pStyle w:val="67"/>
      </w:pPr>
      <w:r>
        <w:t>55、客车在其设计和技术特性上主要用于载运乘客及其随身行李的商用车辆，包括驾驶员座位在内座位数（　　）。</w:t>
      </w:r>
    </w:p>
    <w:p>
      <w:pPr>
        <w:pStyle w:val="69"/>
      </w:pPr>
      <w:r>
        <w:tab/>
      </w:r>
      <w:r>
        <w:t>A、最多不超过8个座位</w:t>
      </w:r>
      <w:r>
        <w:tab/>
      </w:r>
      <w:r>
        <w:t>B、最多不超过6个座位</w:t>
      </w:r>
    </w:p>
    <w:p>
      <w:pPr>
        <w:pStyle w:val="69"/>
      </w:pPr>
      <w:r>
        <w:tab/>
      </w:r>
      <w:r>
        <w:t>C、超过9个座位</w:t>
      </w:r>
      <w:r>
        <w:tab/>
      </w:r>
      <w:r>
        <w:t>D、不少于9个座位</w:t>
      </w:r>
    </w:p>
    <w:p>
      <w:pPr>
        <w:pStyle w:val="67"/>
      </w:pPr>
      <w:r>
        <w:t>56、车辆唯一性检查是指对（　　）。</w:t>
      </w:r>
    </w:p>
    <w:p>
      <w:pPr>
        <w:pStyle w:val="68"/>
      </w:pPr>
      <w:r>
        <w:tab/>
      </w:r>
      <w:r>
        <w:t>A、机动车的号牌号码和类型 、车辆品牌和型号、车辆识别代号(或整车出厂编号)、发动机号码(或电动机号码)进行核查，以确认送检机动车的唯一性。</w:t>
      </w:r>
    </w:p>
    <w:p>
      <w:pPr>
        <w:pStyle w:val="68"/>
      </w:pPr>
      <w:r>
        <w:tab/>
      </w:r>
      <w:r>
        <w:t>B、车辆品牌和型号、发动机号码(或电动机号码)、车辆颜色和外形进行核查，以确认送检机动车的唯一性。</w:t>
      </w:r>
    </w:p>
    <w:p>
      <w:pPr>
        <w:pStyle w:val="68"/>
      </w:pPr>
      <w:r>
        <w:tab/>
      </w:r>
      <w:r>
        <w:t>C、机动车的号牌号码和类型进行核查，以确认送检机动车的唯一性。</w:t>
      </w:r>
    </w:p>
    <w:p>
      <w:pPr>
        <w:pStyle w:val="68"/>
      </w:pPr>
      <w:r>
        <w:tab/>
      </w:r>
      <w:r>
        <w:t>D、机动车的号牌号码和类型 、车辆品牌和型号、车辆识别代号(或整车出厂编号)、发动机号码(或电动机号码)、车辆颜色和外形进行核查，以确认送检机动车的唯一性。</w:t>
      </w:r>
    </w:p>
    <w:p>
      <w:pPr>
        <w:pStyle w:val="67"/>
      </w:pPr>
      <w:r>
        <w:t>57、机动车所有人的住所迁出车辆管理所管辖区域的，车辆管理所应当自受理之日起三日内，核发有效期为（　　）的临时行驶车号牌。</w:t>
      </w:r>
    </w:p>
    <w:p>
      <w:pPr>
        <w:pStyle w:val="70"/>
      </w:pPr>
      <w:r>
        <w:tab/>
      </w:r>
      <w:r>
        <w:t>A、十日</w:t>
      </w:r>
      <w:r>
        <w:tab/>
      </w:r>
      <w:r>
        <w:t>B、十五日</w:t>
      </w:r>
      <w:r>
        <w:tab/>
      </w:r>
      <w:r>
        <w:t>C、二十日</w:t>
      </w:r>
      <w:r>
        <w:tab/>
      </w:r>
      <w:r>
        <w:t>D、三十日</w:t>
      </w:r>
    </w:p>
    <w:p>
      <w:pPr>
        <w:pStyle w:val="67"/>
      </w:pPr>
      <w:r>
        <w:t>58、下列不属于其它类型载客汽车特征参数检查的项目是（　　）。</w:t>
      </w:r>
    </w:p>
    <w:p>
      <w:pPr>
        <w:pStyle w:val="69"/>
      </w:pPr>
      <w:r>
        <w:tab/>
      </w:r>
      <w:r>
        <w:t>A、轴距</w:t>
      </w:r>
      <w:r>
        <w:tab/>
      </w:r>
      <w:r>
        <w:t>B、整备质量</w:t>
      </w:r>
    </w:p>
    <w:p>
      <w:pPr>
        <w:pStyle w:val="69"/>
      </w:pPr>
      <w:r>
        <w:tab/>
      </w:r>
      <w:r>
        <w:t>C、核定载人数</w:t>
      </w:r>
      <w:r>
        <w:tab/>
      </w:r>
      <w:r>
        <w:t>D、后轴钢板弹簧片数</w:t>
      </w:r>
    </w:p>
    <w:p>
      <w:pPr>
        <w:pStyle w:val="67"/>
      </w:pPr>
      <w:r>
        <w:t>59、GB 1589-2016的全称是（　　）。</w:t>
      </w:r>
    </w:p>
    <w:p>
      <w:pPr>
        <w:pStyle w:val="68"/>
      </w:pPr>
      <w:r>
        <w:tab/>
      </w:r>
      <w:r>
        <w:t>A、《道路车辆外廓尺寸、轴荷及质量限值》</w:t>
      </w:r>
    </w:p>
    <w:p>
      <w:pPr>
        <w:pStyle w:val="68"/>
      </w:pPr>
      <w:r>
        <w:tab/>
      </w:r>
      <w:r>
        <w:t>B、《汽车、挂车及汽车列车外廓尺寸、轴荷及质量限值》</w:t>
      </w:r>
    </w:p>
    <w:p>
      <w:pPr>
        <w:pStyle w:val="68"/>
      </w:pPr>
      <w:r>
        <w:tab/>
      </w:r>
      <w:r>
        <w:t>C、《汽车外廓尺寸、轴荷及质量限值》</w:t>
      </w:r>
    </w:p>
    <w:p>
      <w:pPr>
        <w:pStyle w:val="68"/>
      </w:pPr>
      <w:r>
        <w:tab/>
      </w:r>
      <w:r>
        <w:t>D、《挂车及汽车列车外廓尺寸、轴荷及质量限值》</w:t>
      </w:r>
    </w:p>
    <w:p>
      <w:pPr>
        <w:pStyle w:val="67"/>
      </w:pPr>
      <w:r>
        <w:t>60、汽车轴荷的测量工具是（　　）。</w:t>
      </w:r>
    </w:p>
    <w:p>
      <w:pPr>
        <w:pStyle w:val="70"/>
      </w:pPr>
      <w:r>
        <w:tab/>
      </w:r>
      <w:r>
        <w:t>A、地磅</w:t>
      </w:r>
      <w:r>
        <w:tab/>
      </w:r>
      <w:r>
        <w:t>B、磅秤</w:t>
      </w:r>
      <w:r>
        <w:tab/>
      </w:r>
      <w:r>
        <w:t>C、轴重仪</w:t>
      </w:r>
      <w:r>
        <w:tab/>
      </w:r>
      <w:r>
        <w:t>D、台秤</w:t>
      </w:r>
    </w:p>
    <w:p>
      <w:pPr>
        <w:pStyle w:val="67"/>
      </w:pPr>
      <w:r>
        <w:t>61、二轴式栏板式半挂车的长度限值是（　　）mm。</w:t>
      </w:r>
    </w:p>
    <w:p>
      <w:pPr>
        <w:pStyle w:val="70"/>
      </w:pPr>
      <w:r>
        <w:tab/>
      </w:r>
      <w:r>
        <w:t>A、8600</w:t>
      </w:r>
      <w:r>
        <w:tab/>
      </w:r>
      <w:r>
        <w:t>B、10000</w:t>
      </w:r>
      <w:r>
        <w:tab/>
      </w:r>
      <w:r>
        <w:t>C、13000</w:t>
      </w:r>
      <w:r>
        <w:tab/>
      </w:r>
      <w:r>
        <w:t>D、16000</w:t>
      </w:r>
    </w:p>
    <w:p>
      <w:pPr>
        <w:pStyle w:val="67"/>
      </w:pPr>
      <w:r>
        <w:t>62、栏板式货车的高度限值是（　　）mm。</w:t>
      </w:r>
    </w:p>
    <w:p>
      <w:pPr>
        <w:pStyle w:val="70"/>
      </w:pPr>
      <w:r>
        <w:tab/>
      </w:r>
      <w:r>
        <w:t>A、5000</w:t>
      </w:r>
      <w:r>
        <w:tab/>
      </w:r>
      <w:r>
        <w:t>B、4000</w:t>
      </w:r>
      <w:r>
        <w:tab/>
      </w:r>
      <w:r>
        <w:t>C、3000</w:t>
      </w:r>
      <w:r>
        <w:tab/>
      </w:r>
      <w:r>
        <w:t>D、2000</w:t>
      </w:r>
    </w:p>
    <w:p>
      <w:pPr>
        <w:pStyle w:val="67"/>
      </w:pPr>
      <w:r>
        <w:t>63、三轴式栏板式半挂车的长度限值是（　　）mm。</w:t>
      </w:r>
    </w:p>
    <w:p>
      <w:pPr>
        <w:pStyle w:val="70"/>
      </w:pPr>
      <w:r>
        <w:tab/>
      </w:r>
      <w:r>
        <w:t>A、8600</w:t>
      </w:r>
      <w:r>
        <w:tab/>
      </w:r>
      <w:r>
        <w:t>B、10000</w:t>
      </w:r>
      <w:r>
        <w:tab/>
      </w:r>
      <w:r>
        <w:t>C、13000</w:t>
      </w:r>
      <w:r>
        <w:tab/>
      </w:r>
      <w:r>
        <w:t>D、16000</w:t>
      </w:r>
    </w:p>
    <w:p>
      <w:pPr>
        <w:pStyle w:val="67"/>
      </w:pPr>
      <w:r>
        <w:t>64、乘用车是核定载人数不超过（　　）座的小客车。</w:t>
      </w:r>
    </w:p>
    <w:p>
      <w:pPr>
        <w:pStyle w:val="70"/>
      </w:pPr>
      <w:r>
        <w:tab/>
      </w:r>
      <w:r>
        <w:t>A、5</w:t>
      </w:r>
      <w:r>
        <w:tab/>
      </w:r>
      <w:r>
        <w:t>B、7</w:t>
      </w:r>
      <w:r>
        <w:tab/>
      </w:r>
      <w:r>
        <w:t>C、9</w:t>
      </w:r>
      <w:r>
        <w:tab/>
      </w:r>
      <w:r>
        <w:t>D、11</w:t>
      </w:r>
    </w:p>
    <w:p>
      <w:pPr>
        <w:pStyle w:val="67"/>
      </w:pPr>
      <w:r>
        <w:t>65、车长大于等于（　　）m 的客车（乘坐人数小于 20 的专用客车除外），如车身右侧仅有一个乘客 门且在车身左侧未设置驾驶人门，应在车身左侧或后部设置应急门。</w:t>
      </w:r>
    </w:p>
    <w:p>
      <w:pPr>
        <w:pStyle w:val="70"/>
      </w:pPr>
      <w:r>
        <w:tab/>
      </w:r>
      <w:r>
        <w:t>A、5</w:t>
      </w:r>
      <w:r>
        <w:tab/>
      </w:r>
      <w:r>
        <w:t>B、6</w:t>
      </w:r>
      <w:r>
        <w:tab/>
      </w:r>
      <w:r>
        <w:t>C、7</w:t>
      </w:r>
      <w:r>
        <w:tab/>
      </w:r>
      <w:r>
        <w:t>D、8</w:t>
      </w:r>
    </w:p>
    <w:p>
      <w:pPr>
        <w:pStyle w:val="67"/>
      </w:pPr>
      <w:r>
        <w:t>66、对专用校车，在空载状态下，第一级踏步离地高应小于等 于（　　）mm。</w:t>
      </w:r>
    </w:p>
    <w:p>
      <w:pPr>
        <w:pStyle w:val="70"/>
      </w:pPr>
      <w:r>
        <w:tab/>
      </w:r>
      <w:r>
        <w:t>A、200</w:t>
      </w:r>
      <w:r>
        <w:tab/>
      </w:r>
      <w:r>
        <w:t>B、250</w:t>
      </w:r>
      <w:r>
        <w:tab/>
      </w:r>
      <w:r>
        <w:t>C、300</w:t>
      </w:r>
      <w:r>
        <w:tab/>
      </w:r>
      <w:r>
        <w:t>D、350</w:t>
      </w:r>
    </w:p>
    <w:p>
      <w:pPr>
        <w:pStyle w:val="67"/>
      </w:pPr>
      <w:r>
        <w:t>67、前照灯的进光灯丝位于（　　）。</w:t>
      </w:r>
    </w:p>
    <w:p>
      <w:pPr>
        <w:pStyle w:val="70"/>
      </w:pPr>
      <w:r>
        <w:tab/>
      </w:r>
      <w:r>
        <w:t>A、焦点上方</w:t>
      </w:r>
      <w:r>
        <w:tab/>
      </w:r>
      <w:r>
        <w:t>B、焦点处</w:t>
      </w:r>
      <w:r>
        <w:tab/>
      </w:r>
      <w:r>
        <w:t>C、焦点下方</w:t>
      </w:r>
      <w:r>
        <w:tab/>
      </w:r>
      <w:r>
        <w:t>D、焦点前</w:t>
      </w:r>
    </w:p>
    <w:p>
      <w:pPr>
        <w:pStyle w:val="67"/>
      </w:pPr>
      <w:r>
        <w:t>68、汽车双丝前照灯在近光灯丝（　　）装置有金属反光板罩。</w:t>
      </w:r>
    </w:p>
    <w:p>
      <w:pPr>
        <w:pStyle w:val="70"/>
      </w:pPr>
      <w:r>
        <w:tab/>
      </w:r>
      <w:r>
        <w:t>A、上方</w:t>
      </w:r>
      <w:r>
        <w:tab/>
      </w:r>
      <w:r>
        <w:t>B、下方</w:t>
      </w:r>
      <w:r>
        <w:tab/>
      </w:r>
      <w:r>
        <w:t>C、前方</w:t>
      </w:r>
      <w:r>
        <w:tab/>
      </w:r>
      <w:r>
        <w:t>D、后方</w:t>
      </w:r>
    </w:p>
    <w:p>
      <w:pPr>
        <w:pStyle w:val="67"/>
      </w:pPr>
      <w:r>
        <w:t>69、轮胎的使用性能包括（　　）。</w:t>
      </w:r>
    </w:p>
    <w:p>
      <w:pPr>
        <w:pStyle w:val="68"/>
      </w:pPr>
      <w:r>
        <w:tab/>
      </w:r>
      <w:r>
        <w:t>A、载荷能力、实用性能、缓冲性能、附着性能、安全性能、滚动阻力、经济性</w:t>
      </w:r>
    </w:p>
    <w:p>
      <w:pPr>
        <w:pStyle w:val="68"/>
      </w:pPr>
      <w:r>
        <w:tab/>
      </w:r>
      <w:r>
        <w:t>B、载荷能力、耐磨性能、缓冲性能、附着性能、安全性能、滚动阻力、经济性</w:t>
      </w:r>
    </w:p>
    <w:p>
      <w:pPr>
        <w:pStyle w:val="68"/>
      </w:pPr>
      <w:r>
        <w:tab/>
      </w:r>
      <w:r>
        <w:t>C、载荷能力、耐磨性能、实用性能、附着性能、安全性能、滚动阻力、经济性</w:t>
      </w:r>
    </w:p>
    <w:p>
      <w:pPr>
        <w:pStyle w:val="68"/>
      </w:pPr>
      <w:r>
        <w:tab/>
      </w:r>
      <w:r>
        <w:t>D、载荷能力、耐磨性能、缓冲性能、附着性能、安全性能、经济性</w:t>
      </w:r>
    </w:p>
    <w:p>
      <w:pPr>
        <w:pStyle w:val="67"/>
      </w:pPr>
      <w:r>
        <w:t>70、救护车的车身颜色应为（　　），左、右侧及车后正中应喷符合规定的图案。</w:t>
      </w:r>
    </w:p>
    <w:p>
      <w:pPr>
        <w:pStyle w:val="70"/>
      </w:pPr>
      <w:r>
        <w:tab/>
      </w:r>
      <w:r>
        <w:t>A、红色</w:t>
      </w:r>
      <w:r>
        <w:tab/>
      </w:r>
      <w:r>
        <w:t>B、黄色</w:t>
      </w:r>
      <w:r>
        <w:tab/>
      </w:r>
      <w:r>
        <w:t>C、兰色</w:t>
      </w:r>
      <w:r>
        <w:tab/>
      </w:r>
      <w:r>
        <w:t>D、白色9</w:t>
      </w:r>
    </w:p>
    <w:p>
      <w:pPr>
        <w:pStyle w:val="67"/>
      </w:pPr>
      <w:r>
        <w:t>71、轮胎由（　　）部分组成。</w:t>
      </w:r>
    </w:p>
    <w:p>
      <w:pPr>
        <w:pStyle w:val="69"/>
      </w:pPr>
      <w:r>
        <w:tab/>
      </w:r>
      <w:r>
        <w:t>A、外胎、内胎、垫带</w:t>
      </w:r>
      <w:r>
        <w:tab/>
      </w:r>
      <w:r>
        <w:t>B、内胎、垫带、缓冲带</w:t>
      </w:r>
    </w:p>
    <w:p>
      <w:pPr>
        <w:pStyle w:val="69"/>
      </w:pPr>
      <w:r>
        <w:tab/>
      </w:r>
      <w:r>
        <w:t>C、外胎、垫带、缓冲带</w:t>
      </w:r>
      <w:r>
        <w:tab/>
      </w:r>
      <w:r>
        <w:t>D、外胎、内胎、缓冲带</w:t>
      </w:r>
    </w:p>
    <w:p>
      <w:pPr>
        <w:pStyle w:val="67"/>
      </w:pPr>
      <w:r>
        <w:t>72、车身和驾驶室应（　　），覆盖件无开裂。</w:t>
      </w:r>
    </w:p>
    <w:p>
      <w:pPr>
        <w:pStyle w:val="70"/>
      </w:pPr>
      <w:r>
        <w:tab/>
      </w:r>
      <w:r>
        <w:t>A、坚固耐用</w:t>
      </w:r>
      <w:r>
        <w:tab/>
      </w:r>
      <w:r>
        <w:t>B、空间宽大</w:t>
      </w:r>
      <w:r>
        <w:tab/>
      </w:r>
      <w:r>
        <w:t>C、空间紧凑</w:t>
      </w:r>
      <w:r>
        <w:tab/>
      </w:r>
      <w:r>
        <w:t>D、价廉物美</w:t>
      </w:r>
    </w:p>
    <w:p>
      <w:pPr>
        <w:pStyle w:val="67"/>
      </w:pPr>
      <w:r>
        <w:t>73、工程救险车的车身颜色应为符合GB/T3181规定的Y07，其车身两侧应喷（　　）工程救险字样。</w:t>
      </w:r>
    </w:p>
    <w:p>
      <w:pPr>
        <w:pStyle w:val="70"/>
      </w:pPr>
      <w:r>
        <w:tab/>
      </w:r>
      <w:r>
        <w:t>A、红色</w:t>
      </w:r>
      <w:r>
        <w:tab/>
      </w:r>
      <w:r>
        <w:t>B、中黄色</w:t>
      </w:r>
      <w:r>
        <w:tab/>
      </w:r>
      <w:r>
        <w:t>C、兰色</w:t>
      </w:r>
      <w:r>
        <w:tab/>
      </w:r>
      <w:r>
        <w:t>D、橙色8</w:t>
      </w:r>
    </w:p>
    <w:p>
      <w:pPr>
        <w:pStyle w:val="67"/>
      </w:pPr>
      <w:r>
        <w:t>74、消防车车身颜色为大红色，标志灯为。（　　）</w:t>
      </w:r>
    </w:p>
    <w:p>
      <w:pPr>
        <w:pStyle w:val="70"/>
      </w:pPr>
      <w:r>
        <w:tab/>
      </w:r>
      <w:r>
        <w:t>A、黄色回转式</w:t>
      </w:r>
      <w:r>
        <w:tab/>
      </w:r>
      <w:r>
        <w:t>B、红色回转式</w:t>
      </w:r>
      <w:r>
        <w:tab/>
      </w:r>
      <w:r>
        <w:t>C、红蓝回转式</w:t>
      </w:r>
      <w:r>
        <w:tab/>
      </w:r>
      <w:r>
        <w:t>D、蓝色回转式</w:t>
      </w:r>
    </w:p>
    <w:p>
      <w:pPr>
        <w:pStyle w:val="67"/>
      </w:pPr>
      <w:r>
        <w:t>75、下列不需要粘贴车身反光标识的是（　　）。</w:t>
      </w:r>
    </w:p>
    <w:p>
      <w:pPr>
        <w:pStyle w:val="69"/>
      </w:pPr>
      <w:r>
        <w:tab/>
      </w:r>
      <w:r>
        <w:t>A、轻型厢式货车</w:t>
      </w:r>
      <w:r>
        <w:tab/>
      </w:r>
      <w:r>
        <w:t>B、轻型封闭式货车</w:t>
      </w:r>
    </w:p>
    <w:p>
      <w:pPr>
        <w:pStyle w:val="69"/>
      </w:pPr>
      <w:r>
        <w:tab/>
      </w:r>
      <w:r>
        <w:t>C、中型平板货车</w:t>
      </w:r>
      <w:r>
        <w:tab/>
      </w:r>
      <w:r>
        <w:t>D、轻型多用途货车</w:t>
      </w:r>
    </w:p>
    <w:p>
      <w:pPr>
        <w:pStyle w:val="67"/>
      </w:pPr>
      <w:r>
        <w:t>76、汽车上所使用的离合器的主动部分不包括（　　）。</w:t>
      </w:r>
    </w:p>
    <w:p>
      <w:pPr>
        <w:pStyle w:val="69"/>
      </w:pPr>
      <w:r>
        <w:tab/>
      </w:r>
      <w:r>
        <w:t>A、飞轮</w:t>
      </w:r>
      <w:r>
        <w:tab/>
      </w:r>
      <w:r>
        <w:t>B、压盘</w:t>
      </w:r>
    </w:p>
    <w:p>
      <w:pPr>
        <w:pStyle w:val="69"/>
      </w:pPr>
      <w:r>
        <w:tab/>
      </w:r>
      <w:r>
        <w:t>C、离合器</w:t>
      </w:r>
      <w:r>
        <w:tab/>
      </w:r>
      <w:r>
        <w:t>D、离合器输出轴</w:t>
      </w:r>
    </w:p>
    <w:p>
      <w:pPr>
        <w:pStyle w:val="67"/>
      </w:pPr>
      <w:r>
        <w:t>77、变速器挂入传动比大于1的档位时，变速器实现（　　）。</w:t>
      </w:r>
    </w:p>
    <w:p>
      <w:pPr>
        <w:pStyle w:val="70"/>
      </w:pPr>
      <w:r>
        <w:tab/>
      </w:r>
      <w:r>
        <w:t>A、减速增扭</w:t>
      </w:r>
      <w:r>
        <w:tab/>
      </w:r>
      <w:r>
        <w:t>B、增扭升速</w:t>
      </w:r>
      <w:r>
        <w:tab/>
      </w:r>
      <w:r>
        <w:t>C、增速增扭</w:t>
      </w:r>
      <w:r>
        <w:tab/>
      </w:r>
      <w:r>
        <w:t>D、减速减扭</w:t>
      </w:r>
    </w:p>
    <w:p>
      <w:pPr>
        <w:pStyle w:val="67"/>
      </w:pPr>
      <w:r>
        <w:t>78、真空助力式液压制动传动装置，加力气室和控制阀组成一个整体，叫做（　　）。</w:t>
      </w:r>
    </w:p>
    <w:p>
      <w:pPr>
        <w:pStyle w:val="70"/>
      </w:pPr>
      <w:r>
        <w:tab/>
      </w:r>
      <w:r>
        <w:t>A、真空助力器</w:t>
      </w:r>
      <w:r>
        <w:tab/>
      </w:r>
      <w:r>
        <w:t>B、真空增压器</w:t>
      </w:r>
      <w:r>
        <w:tab/>
      </w:r>
      <w:r>
        <w:t>C、空气增压器</w:t>
      </w:r>
      <w:r>
        <w:tab/>
      </w:r>
      <w:r>
        <w:t>D、空气助力器</w:t>
      </w:r>
    </w:p>
    <w:p>
      <w:pPr>
        <w:pStyle w:val="67"/>
      </w:pPr>
      <w:r>
        <w:t>79、当汽车气压制动系统贮气筒内的气压高于（　　）Mpa以上时, 气压不足报警灯报警开关触点分开,报警灯不亮。</w:t>
      </w:r>
    </w:p>
    <w:p>
      <w:pPr>
        <w:pStyle w:val="70"/>
      </w:pPr>
      <w:r>
        <w:tab/>
      </w:r>
      <w:r>
        <w:t>A、0.05</w:t>
      </w:r>
      <w:r>
        <w:tab/>
      </w:r>
      <w:r>
        <w:t>B、0.15</w:t>
      </w:r>
      <w:r>
        <w:tab/>
      </w:r>
      <w:r>
        <w:t>C、0.3</w:t>
      </w:r>
      <w:r>
        <w:tab/>
      </w:r>
      <w:r>
        <w:t>D、0.45</w:t>
      </w:r>
    </w:p>
    <w:p>
      <w:pPr>
        <w:pStyle w:val="67"/>
      </w:pPr>
      <w:r>
        <w:t>80、汽车转向时，其内轮转向角（　　）外轮转向角。</w:t>
      </w:r>
    </w:p>
    <w:p>
      <w:pPr>
        <w:pStyle w:val="70"/>
      </w:pPr>
      <w:r>
        <w:tab/>
      </w:r>
      <w:r>
        <w:t>A、大于</w:t>
      </w:r>
      <w:r>
        <w:tab/>
      </w:r>
      <w:r>
        <w:t>B、小于</w:t>
      </w:r>
      <w:r>
        <w:tab/>
      </w:r>
      <w:r>
        <w:t>C、等于</w:t>
      </w:r>
      <w:r>
        <w:tab/>
      </w:r>
      <w:r>
        <w:t>D、大于或等于</w:t>
      </w:r>
    </w:p>
    <w:p>
      <w:pPr>
        <w:pStyle w:val="67"/>
      </w:pPr>
      <w:r>
        <w:t>81、采用（　　）时，车桥都是断开式的。</w:t>
      </w:r>
    </w:p>
    <w:p>
      <w:pPr>
        <w:pStyle w:val="69"/>
      </w:pPr>
      <w:r>
        <w:tab/>
      </w:r>
      <w:r>
        <w:t>A、独立悬架</w:t>
      </w:r>
      <w:r>
        <w:tab/>
      </w:r>
      <w:r>
        <w:t>B、非独立悬架</w:t>
      </w:r>
    </w:p>
    <w:p>
      <w:pPr>
        <w:pStyle w:val="69"/>
      </w:pPr>
      <w:r>
        <w:tab/>
      </w:r>
      <w:r>
        <w:t>C、单级主减速器</w:t>
      </w:r>
      <w:r>
        <w:tab/>
      </w:r>
      <w:r>
        <w:t>D、双级主减速器</w:t>
      </w:r>
    </w:p>
    <w:p>
      <w:pPr>
        <w:pStyle w:val="67"/>
      </w:pPr>
      <w:r>
        <w:t>82、液压制动的汽车连续踏几次制动踏板后，踏板能升高但踏制动踏板感觉有弹性，则是由于（　　）。</w:t>
      </w:r>
    </w:p>
    <w:p>
      <w:pPr>
        <w:pStyle w:val="69"/>
      </w:pPr>
      <w:r>
        <w:tab/>
      </w:r>
      <w:r>
        <w:t>A、主缸皮碗破坏、顶翻</w:t>
      </w:r>
      <w:r>
        <w:tab/>
      </w:r>
      <w:r>
        <w:t>B、液压系统有空气或制动液气化</w:t>
      </w:r>
    </w:p>
    <w:p>
      <w:pPr>
        <w:pStyle w:val="69"/>
      </w:pPr>
      <w:r>
        <w:tab/>
      </w:r>
      <w:r>
        <w:t>C、液压系统有渗漏</w:t>
      </w:r>
      <w:r>
        <w:tab/>
      </w:r>
      <w:r>
        <w:t>D、制动液牌号不对</w:t>
      </w:r>
    </w:p>
    <w:p>
      <w:pPr>
        <w:pStyle w:val="67"/>
      </w:pPr>
      <w:r>
        <w:t>83、总质量大于 3501kg 的货车和货车底盘改装的专项作 业车还应在（　　）侧至少设置一面补盲后视镜。</w:t>
      </w:r>
    </w:p>
    <w:p>
      <w:pPr>
        <w:pStyle w:val="70"/>
      </w:pPr>
      <w:r>
        <w:tab/>
      </w:r>
      <w:r>
        <w:t>A、上</w:t>
      </w:r>
      <w:r>
        <w:tab/>
      </w:r>
      <w:r>
        <w:t>B、下</w:t>
      </w:r>
      <w:r>
        <w:tab/>
      </w:r>
      <w:r>
        <w:t>C、左</w:t>
      </w:r>
      <w:r>
        <w:tab/>
      </w:r>
      <w:r>
        <w:t>D、右</w:t>
      </w:r>
    </w:p>
    <w:p>
      <w:pPr>
        <w:pStyle w:val="67"/>
      </w:pPr>
      <w:r>
        <w:t>84、机动车的（　　）风窗玻璃必须装备刮水器。</w:t>
      </w:r>
    </w:p>
    <w:p>
      <w:pPr>
        <w:pStyle w:val="70"/>
      </w:pPr>
      <w:r>
        <w:tab/>
      </w:r>
      <w:r>
        <w:t>A、前</w:t>
      </w:r>
      <w:r>
        <w:tab/>
      </w:r>
      <w:r>
        <w:t>B、后</w:t>
      </w:r>
      <w:r>
        <w:tab/>
      </w:r>
      <w:r>
        <w:t>C、左</w:t>
      </w:r>
      <w:r>
        <w:tab/>
      </w:r>
      <w:r>
        <w:t>D、右</w:t>
      </w:r>
    </w:p>
    <w:p>
      <w:pPr>
        <w:pStyle w:val="67"/>
      </w:pPr>
      <w:r>
        <w:t>85、刮水器的刮刷面积（　　）确保驾驶人具有良好的前方视野。</w:t>
      </w:r>
    </w:p>
    <w:p>
      <w:pPr>
        <w:pStyle w:val="70"/>
      </w:pPr>
      <w:r>
        <w:tab/>
      </w:r>
      <w:r>
        <w:t>A、必须</w:t>
      </w:r>
      <w:r>
        <w:tab/>
      </w:r>
      <w:r>
        <w:t>B、可以</w:t>
      </w:r>
      <w:r>
        <w:tab/>
      </w:r>
      <w:r>
        <w:t>C、可能</w:t>
      </w:r>
      <w:r>
        <w:tab/>
      </w:r>
      <w:r>
        <w:t>D、不必</w:t>
      </w:r>
    </w:p>
    <w:p>
      <w:pPr>
        <w:pStyle w:val="67"/>
      </w:pPr>
      <w:r>
        <w:t>86、电动刮水器复位的方式有凸轮式自动复位机构、（　　）两种。</w:t>
      </w:r>
    </w:p>
    <w:p>
      <w:pPr>
        <w:pStyle w:val="69"/>
      </w:pPr>
      <w:r>
        <w:tab/>
      </w:r>
      <w:r>
        <w:t>A、拉索式自动复位机构</w:t>
      </w:r>
      <w:r>
        <w:tab/>
      </w:r>
      <w:r>
        <w:t>B、铜环式自动复位机构</w:t>
      </w:r>
    </w:p>
    <w:p>
      <w:pPr>
        <w:pStyle w:val="69"/>
      </w:pPr>
      <w:r>
        <w:tab/>
      </w:r>
      <w:r>
        <w:t>C、压力式自动复位机构</w:t>
      </w:r>
      <w:r>
        <w:tab/>
      </w:r>
      <w:r>
        <w:t>D、电子式自动复位机构</w:t>
      </w:r>
    </w:p>
    <w:p>
      <w:pPr>
        <w:pStyle w:val="67"/>
      </w:pPr>
      <w:r>
        <w:t>87、通向应急门的引道宽度应大于等于300mm ，不足 300mm 时允许采用迅速翻转座椅的方法（　　）引道。</w:t>
      </w:r>
    </w:p>
    <w:p>
      <w:pPr>
        <w:pStyle w:val="70"/>
      </w:pPr>
      <w:r>
        <w:tab/>
      </w:r>
      <w:r>
        <w:t>A、加长</w:t>
      </w:r>
      <w:r>
        <w:tab/>
      </w:r>
      <w:r>
        <w:t>B、加深</w:t>
      </w:r>
      <w:r>
        <w:tab/>
      </w:r>
      <w:r>
        <w:t>C、加宽</w:t>
      </w:r>
      <w:r>
        <w:tab/>
      </w:r>
      <w:r>
        <w:t>D、加厚</w:t>
      </w:r>
    </w:p>
    <w:p>
      <w:pPr>
        <w:pStyle w:val="67"/>
      </w:pPr>
      <w:r>
        <w:t>88、纯电动汽车、插电式混合动力汽车在车辆起步且车速低于（　　）km/h 时，应能给车外人员发出 适当的提示性声响。</w:t>
      </w:r>
    </w:p>
    <w:p>
      <w:pPr>
        <w:pStyle w:val="70"/>
      </w:pPr>
      <w:r>
        <w:tab/>
      </w:r>
      <w:r>
        <w:t>A、10</w:t>
      </w:r>
      <w:r>
        <w:tab/>
      </w:r>
      <w:r>
        <w:t>B、20</w:t>
      </w:r>
      <w:r>
        <w:tab/>
      </w:r>
      <w:r>
        <w:t>C、30</w:t>
      </w:r>
      <w:r>
        <w:tab/>
      </w:r>
      <w:r>
        <w:t>D、40</w:t>
      </w:r>
    </w:p>
    <w:p>
      <w:pPr>
        <w:pStyle w:val="67"/>
      </w:pPr>
      <w:r>
        <w:t>89、循环球式转向器中的转向螺母可以（　　）。</w:t>
      </w:r>
    </w:p>
    <w:p>
      <w:pPr>
        <w:pStyle w:val="69"/>
      </w:pPr>
      <w:r>
        <w:tab/>
      </w:r>
      <w:r>
        <w:t>A、转动</w:t>
      </w:r>
      <w:r>
        <w:tab/>
      </w:r>
      <w:r>
        <w:t>B、轴向移动</w:t>
      </w:r>
    </w:p>
    <w:p>
      <w:pPr>
        <w:pStyle w:val="69"/>
      </w:pPr>
      <w:r>
        <w:tab/>
      </w:r>
      <w:r>
        <w:t>C、A，B均可</w:t>
      </w:r>
      <w:r>
        <w:tab/>
      </w:r>
      <w:r>
        <w:t>D、A，B均不可</w:t>
      </w:r>
    </w:p>
    <w:p>
      <w:pPr>
        <w:pStyle w:val="67"/>
      </w:pPr>
      <w:r>
        <w:t>90、蜗杆曲柄指销式转向器的传动副是蜗杆与指销。按其传动副中指销数的数目来分，有单销式和（　　）两种。</w:t>
      </w:r>
    </w:p>
    <w:p>
      <w:pPr>
        <w:pStyle w:val="70"/>
      </w:pPr>
      <w:r>
        <w:tab/>
      </w:r>
      <w:r>
        <w:t>A、双销式</w:t>
      </w:r>
      <w:r>
        <w:tab/>
      </w:r>
      <w:r>
        <w:t>B、三销</w:t>
      </w:r>
      <w:r>
        <w:tab/>
      </w:r>
      <w:r>
        <w:t>C、四销式</w:t>
      </w:r>
      <w:r>
        <w:tab/>
      </w:r>
      <w:r>
        <w:t>D、五销式</w:t>
      </w:r>
    </w:p>
    <w:p>
      <w:pPr>
        <w:pStyle w:val="67"/>
      </w:pPr>
      <w:r>
        <w:t>91、动力转向液压助力系统缺少液压油会导致（　　）。</w:t>
      </w:r>
    </w:p>
    <w:p>
      <w:pPr>
        <w:pStyle w:val="70"/>
      </w:pPr>
      <w:r>
        <w:tab/>
      </w:r>
      <w:r>
        <w:t>A、行驶跑偏</w:t>
      </w:r>
      <w:r>
        <w:tab/>
      </w:r>
      <w:r>
        <w:t>B、转向沉重</w:t>
      </w:r>
      <w:r>
        <w:tab/>
      </w:r>
      <w:r>
        <w:t>C、制动跑偏</w:t>
      </w:r>
      <w:r>
        <w:tab/>
      </w:r>
      <w:r>
        <w:t>D、不能转向</w:t>
      </w:r>
    </w:p>
    <w:p>
      <w:pPr>
        <w:pStyle w:val="67"/>
      </w:pPr>
      <w:r>
        <w:t>92、在动力转向系中，转向所需的能源来源于（　　）。</w:t>
      </w:r>
    </w:p>
    <w:p>
      <w:pPr>
        <w:pStyle w:val="69"/>
      </w:pPr>
      <w:r>
        <w:tab/>
      </w:r>
      <w:r>
        <w:t>A、驾驶员的体能</w:t>
      </w:r>
      <w:r>
        <w:tab/>
      </w:r>
      <w:r>
        <w:t>B、发动机动力</w:t>
      </w:r>
    </w:p>
    <w:p>
      <w:pPr>
        <w:pStyle w:val="69"/>
      </w:pPr>
      <w:r>
        <w:tab/>
      </w:r>
      <w:r>
        <w:t>C、A,B均有</w:t>
      </w:r>
      <w:r>
        <w:tab/>
      </w:r>
      <w:r>
        <w:t>D、A,B均没有</w:t>
      </w:r>
    </w:p>
    <w:p>
      <w:pPr>
        <w:pStyle w:val="67"/>
      </w:pPr>
      <w:r>
        <w:t>93、转向参数测试仪可以测量（　　）的自由转角，原地转向力、方向盘转矩</w:t>
      </w:r>
    </w:p>
    <w:p>
      <w:pPr>
        <w:pStyle w:val="70"/>
      </w:pPr>
      <w:r>
        <w:tab/>
      </w:r>
      <w:r>
        <w:t>A、转向盘</w:t>
      </w:r>
      <w:r>
        <w:tab/>
      </w:r>
      <w:r>
        <w:t>B、转向器</w:t>
      </w:r>
      <w:r>
        <w:tab/>
      </w:r>
      <w:r>
        <w:t>C、转向轴</w:t>
      </w:r>
      <w:r>
        <w:tab/>
      </w:r>
      <w:r>
        <w:t>D、转向万向节</w:t>
      </w:r>
    </w:p>
    <w:p>
      <w:pPr>
        <w:pStyle w:val="67"/>
      </w:pPr>
      <w:r>
        <w:t>94、（　　）将转向参数测试仪安装在被测车辆的方向盘上，安装应保证三个固定脚长度一致。</w:t>
      </w:r>
    </w:p>
    <w:p>
      <w:pPr>
        <w:pStyle w:val="70"/>
      </w:pPr>
      <w:r>
        <w:tab/>
      </w:r>
      <w:r>
        <w:t>A、测量前</w:t>
      </w:r>
      <w:r>
        <w:tab/>
      </w:r>
      <w:r>
        <w:t>B、测量后</w:t>
      </w:r>
      <w:r>
        <w:tab/>
      </w:r>
      <w:r>
        <w:t>C、B都正确</w:t>
      </w:r>
      <w:r>
        <w:tab/>
      </w:r>
      <w:r>
        <w:t>D、B都不正确</w:t>
      </w:r>
    </w:p>
    <w:p>
      <w:pPr>
        <w:pStyle w:val="67"/>
      </w:pPr>
      <w:r>
        <w:t>95、转向参数测试仪测得的自由转角测量值的单位是（　　）。</w:t>
      </w:r>
    </w:p>
    <w:p>
      <w:pPr>
        <w:pStyle w:val="70"/>
      </w:pPr>
      <w:r>
        <w:tab/>
      </w:r>
      <w:r>
        <w:t>A、度</w:t>
      </w:r>
      <w:r>
        <w:tab/>
      </w:r>
      <w:r>
        <w:t>B、分</w:t>
      </w:r>
      <w:r>
        <w:tab/>
      </w:r>
      <w:r>
        <w:t>C、秒</w:t>
      </w:r>
      <w:r>
        <w:tab/>
      </w:r>
      <w:r>
        <w:t>D、转</w:t>
      </w:r>
    </w:p>
    <w:p>
      <w:pPr>
        <w:pStyle w:val="67"/>
      </w:pPr>
      <w:r>
        <w:t>96、侧滑量实际上反映了转向轮定位参数中（　　）之间的配合情况。</w:t>
      </w:r>
    </w:p>
    <w:p>
      <w:pPr>
        <w:pStyle w:val="69"/>
      </w:pPr>
      <w:r>
        <w:tab/>
      </w:r>
      <w:r>
        <w:t>A、车轮外倾与主销后倾</w:t>
      </w:r>
      <w:r>
        <w:tab/>
      </w:r>
      <w:r>
        <w:t>B、前束与车轮外倾</w:t>
      </w:r>
    </w:p>
    <w:p>
      <w:pPr>
        <w:pStyle w:val="69"/>
      </w:pPr>
      <w:r>
        <w:tab/>
      </w:r>
      <w:r>
        <w:t>C、前束与主销内倾</w:t>
      </w:r>
      <w:r>
        <w:tab/>
      </w:r>
      <w:r>
        <w:t>D、车轮外倾与主销内倾</w:t>
      </w:r>
    </w:p>
    <w:p>
      <w:pPr>
        <w:pStyle w:val="67"/>
      </w:pPr>
      <w:r>
        <w:t>97、常用侧滑台为（　　）型式。</w:t>
      </w:r>
    </w:p>
    <w:p>
      <w:pPr>
        <w:pStyle w:val="69"/>
      </w:pPr>
      <w:r>
        <w:tab/>
      </w:r>
      <w:r>
        <w:t>A、单板单动</w:t>
      </w:r>
      <w:r>
        <w:tab/>
      </w:r>
      <w:r>
        <w:t>B、双板联动</w:t>
      </w:r>
    </w:p>
    <w:p>
      <w:pPr>
        <w:pStyle w:val="69"/>
      </w:pPr>
      <w:r>
        <w:tab/>
      </w:r>
      <w:r>
        <w:t>C、双板连体单动</w:t>
      </w:r>
      <w:r>
        <w:tab/>
      </w:r>
      <w:r>
        <w:t>D、双板分体分动</w:t>
      </w:r>
    </w:p>
    <w:p>
      <w:pPr>
        <w:pStyle w:val="67"/>
      </w:pPr>
      <w:r>
        <w:t>98、在标定1米侧滑台滑板动作力，在侧滑量为5m/km时拉力为。（　　）</w:t>
      </w:r>
    </w:p>
    <w:p>
      <w:pPr>
        <w:pStyle w:val="69"/>
      </w:pPr>
      <w:r>
        <w:tab/>
      </w:r>
      <w:r>
        <w:t>A、&lt;40</w:t>
      </w:r>
      <w:r>
        <w:tab/>
      </w:r>
      <w:r>
        <w:t>B、&lt;60N</w:t>
      </w:r>
    </w:p>
    <w:p>
      <w:pPr>
        <w:pStyle w:val="69"/>
      </w:pPr>
      <w:r>
        <w:tab/>
      </w:r>
      <w:r>
        <w:t>C、&lt;70N</w:t>
      </w:r>
      <w:r>
        <w:tab/>
      </w:r>
      <w:r>
        <w:t>D、&lt;120N</w:t>
      </w:r>
    </w:p>
    <w:p>
      <w:pPr>
        <w:pStyle w:val="67"/>
      </w:pPr>
      <w:r>
        <w:t>99、转向轮横向侧滑量检验，被检车辆居中直线行驶，以不高于（　　）的车速平稳通过侧滑检验台滑板。</w:t>
      </w:r>
    </w:p>
    <w:p>
      <w:pPr>
        <w:pStyle w:val="69"/>
      </w:pPr>
      <w:r>
        <w:tab/>
      </w:r>
      <w:r>
        <w:t>A、3km/h</w:t>
      </w:r>
      <w:r>
        <w:tab/>
      </w:r>
      <w:r>
        <w:t>B、5km/h</w:t>
      </w:r>
    </w:p>
    <w:p>
      <w:pPr>
        <w:pStyle w:val="69"/>
      </w:pPr>
      <w:r>
        <w:tab/>
      </w:r>
      <w:r>
        <w:t>C、7km/h</w:t>
      </w:r>
      <w:r>
        <w:tab/>
      </w:r>
      <w:r>
        <w:t>D、10km/h</w:t>
      </w:r>
    </w:p>
    <w:p>
      <w:pPr>
        <w:pStyle w:val="67"/>
      </w:pPr>
      <w:r>
        <w:t>100、安装盘式制动器后，（　　）用力将制动器踏板踩到底数次，以便使制动摩擦片正确就位。</w:t>
      </w:r>
    </w:p>
    <w:p>
      <w:pPr>
        <w:pStyle w:val="70"/>
      </w:pPr>
      <w:r>
        <w:tab/>
      </w:r>
      <w:r>
        <w:t>A、停车状态</w:t>
      </w:r>
      <w:r>
        <w:tab/>
      </w:r>
      <w:r>
        <w:t>B、启动状态</w:t>
      </w:r>
      <w:r>
        <w:tab/>
      </w:r>
      <w:r>
        <w:t>C、怠速状态</w:t>
      </w:r>
      <w:r>
        <w:tab/>
      </w:r>
      <w:r>
        <w:t>D、行驶状态</w:t>
      </w:r>
    </w:p>
    <w:p>
      <w:pPr>
        <w:pStyle w:val="67"/>
      </w:pPr>
      <w:r>
        <w:t>101、强制动时，下列除了哪一项外均可能导致鼓式制动器效能衰退?（　　）</w:t>
      </w:r>
    </w:p>
    <w:p>
      <w:pPr>
        <w:pStyle w:val="69"/>
      </w:pPr>
      <w:r>
        <w:tab/>
      </w:r>
      <w:r>
        <w:t>A、计量阀失效</w:t>
      </w:r>
      <w:r>
        <w:tab/>
      </w:r>
      <w:r>
        <w:t>B、制动鼓不圆</w:t>
      </w:r>
    </w:p>
    <w:p>
      <w:pPr>
        <w:pStyle w:val="69"/>
      </w:pPr>
      <w:r>
        <w:tab/>
      </w:r>
      <w:r>
        <w:t>C、制动蹄发亮</w:t>
      </w:r>
      <w:r>
        <w:tab/>
      </w:r>
      <w:r>
        <w:t>D、制动蹄安装有误</w:t>
      </w:r>
    </w:p>
    <w:p>
      <w:pPr>
        <w:pStyle w:val="67"/>
      </w:pPr>
      <w:r>
        <w:t>102、汽车的制动协调时间，对气压制动的汽车不应大于（　　）。</w:t>
      </w:r>
    </w:p>
    <w:p>
      <w:pPr>
        <w:pStyle w:val="70"/>
      </w:pPr>
      <w:r>
        <w:tab/>
      </w:r>
      <w:r>
        <w:t>A、0.3s</w:t>
      </w:r>
      <w:r>
        <w:tab/>
      </w:r>
      <w:r>
        <w:t>B、0.4s</w:t>
      </w:r>
      <w:r>
        <w:tab/>
      </w:r>
      <w:r>
        <w:t>C、0.5s</w:t>
      </w:r>
      <w:r>
        <w:tab/>
      </w:r>
      <w:r>
        <w:t>D、0.6s</w:t>
      </w:r>
    </w:p>
    <w:p>
      <w:pPr>
        <w:pStyle w:val="67"/>
      </w:pPr>
      <w:r>
        <w:t>103、检查 ABS 制动系统时，（　　）情况是属于不正常的现象。</w:t>
      </w:r>
    </w:p>
    <w:p>
      <w:pPr>
        <w:pStyle w:val="69"/>
      </w:pPr>
      <w:r>
        <w:tab/>
      </w:r>
      <w:r>
        <w:t>A、制动踏板有脉动感觉</w:t>
      </w:r>
      <w:r>
        <w:tab/>
      </w:r>
      <w:r>
        <w:t>B、有明显制动印痕</w:t>
      </w:r>
    </w:p>
    <w:p>
      <w:pPr>
        <w:pStyle w:val="69"/>
      </w:pPr>
      <w:r>
        <w:tab/>
      </w:r>
      <w:r>
        <w:t>C、ABS 警示灯熄灭</w:t>
      </w:r>
      <w:r>
        <w:tab/>
      </w:r>
      <w:r>
        <w:t>D、车轮仍有转动</w:t>
      </w:r>
    </w:p>
    <w:p>
      <w:pPr>
        <w:pStyle w:val="67"/>
      </w:pPr>
      <w:r>
        <w:t>104、台试检验总质量为整备质量1.2倍以下车辆的驻车制动力应不小于该车在测试状态下整车重量的（　　）%。</w:t>
      </w:r>
    </w:p>
    <w:p>
      <w:pPr>
        <w:pStyle w:val="70"/>
      </w:pPr>
      <w:r>
        <w:tab/>
      </w:r>
      <w:r>
        <w:t>A、15</w:t>
      </w:r>
      <w:r>
        <w:tab/>
      </w:r>
      <w:r>
        <w:t>B、18</w:t>
      </w:r>
      <w:r>
        <w:tab/>
      </w:r>
      <w:r>
        <w:t>C、20</w:t>
      </w:r>
      <w:r>
        <w:tab/>
      </w:r>
      <w:r>
        <w:t>D、24</w:t>
      </w:r>
    </w:p>
    <w:p>
      <w:pPr>
        <w:pStyle w:val="67"/>
      </w:pPr>
      <w:r>
        <w:t>105、在台试检验汽车制动力时其后轴制动力大于等于后轴轴荷的60%时，同时测得的左右轮制动力差的比值为（　　）时为合格。</w:t>
      </w:r>
    </w:p>
    <w:p>
      <w:pPr>
        <w:pStyle w:val="70"/>
      </w:pPr>
      <w:r>
        <w:tab/>
      </w:r>
      <w:r>
        <w:t>A、≤8%</w:t>
      </w:r>
      <w:r>
        <w:tab/>
      </w:r>
      <w:r>
        <w:t>B、＜8%</w:t>
      </w:r>
      <w:r>
        <w:tab/>
      </w:r>
      <w:r>
        <w:t>C、≤24%</w:t>
      </w:r>
      <w:r>
        <w:tab/>
      </w:r>
      <w:r>
        <w:t>D、＜24%</w:t>
      </w:r>
    </w:p>
    <w:p>
      <w:pPr>
        <w:pStyle w:val="67"/>
      </w:pPr>
      <w:r>
        <w:t>106、制动试验台由（　　）个滚筒组成（欧式台）。</w:t>
      </w:r>
    </w:p>
    <w:p>
      <w:pPr>
        <w:pStyle w:val="70"/>
      </w:pPr>
      <w:r>
        <w:tab/>
      </w:r>
      <w:r>
        <w:t>A、4</w:t>
      </w:r>
      <w:r>
        <w:tab/>
      </w:r>
      <w:r>
        <w:t>B、6</w:t>
      </w:r>
      <w:r>
        <w:tab/>
      </w:r>
      <w:r>
        <w:t>C、8</w:t>
      </w:r>
      <w:r>
        <w:tab/>
      </w:r>
      <w:r>
        <w:t>D、10</w:t>
      </w:r>
    </w:p>
    <w:p>
      <w:pPr>
        <w:pStyle w:val="67"/>
      </w:pPr>
      <w:r>
        <w:t>107、乘用车行车制动在产生最大制动效能时的踏板力或手握力应小于等于（　　）</w:t>
      </w:r>
    </w:p>
    <w:p>
      <w:pPr>
        <w:pStyle w:val="70"/>
      </w:pPr>
      <w:r>
        <w:tab/>
      </w:r>
      <w:r>
        <w:t>A、250N</w:t>
      </w:r>
      <w:r>
        <w:tab/>
      </w:r>
      <w:r>
        <w:t>B、300N</w:t>
      </w:r>
      <w:r>
        <w:tab/>
      </w:r>
      <w:r>
        <w:t>C、500N</w:t>
      </w:r>
      <w:r>
        <w:tab/>
      </w:r>
      <w:r>
        <w:t>D、700N</w:t>
      </w:r>
    </w:p>
    <w:p>
      <w:pPr>
        <w:pStyle w:val="67"/>
      </w:pPr>
      <w:r>
        <w:t>108、某汽油机CO和HC均偏高，处理方法正确的是（　　）。</w:t>
      </w:r>
    </w:p>
    <w:p>
      <w:pPr>
        <w:pStyle w:val="69"/>
      </w:pPr>
      <w:r>
        <w:tab/>
      </w:r>
      <w:r>
        <w:t>A、检查火花塞工作状况</w:t>
      </w:r>
      <w:r>
        <w:tab/>
      </w:r>
      <w:r>
        <w:t>B、检查曲轴箱强制通风阀</w:t>
      </w:r>
    </w:p>
    <w:p>
      <w:pPr>
        <w:pStyle w:val="69"/>
      </w:pPr>
      <w:r>
        <w:tab/>
      </w:r>
      <w:r>
        <w:t>C、检查二次空气喷射阀</w:t>
      </w:r>
      <w:r>
        <w:tab/>
      </w:r>
      <w:r>
        <w:t>D、检查可变进气翻板阀</w:t>
      </w:r>
    </w:p>
    <w:p>
      <w:pPr>
        <w:pStyle w:val="67"/>
      </w:pPr>
      <w:r>
        <w:t>109、GB18285-2018规定了（　　）排放污染物排放测量方法。</w:t>
      </w:r>
    </w:p>
    <w:p>
      <w:pPr>
        <w:pStyle w:val="69"/>
      </w:pPr>
      <w:r>
        <w:tab/>
      </w:r>
      <w:r>
        <w:t>A、双怠速法</w:t>
      </w:r>
      <w:r>
        <w:tab/>
      </w:r>
      <w:r>
        <w:t>B、瞬态工况法</w:t>
      </w:r>
    </w:p>
    <w:p>
      <w:pPr>
        <w:pStyle w:val="69"/>
      </w:pPr>
      <w:r>
        <w:tab/>
      </w:r>
      <w:r>
        <w:t>C、稳态工况法</w:t>
      </w:r>
      <w:r>
        <w:tab/>
      </w:r>
      <w:r>
        <w:t>D、B、C都正确</w:t>
      </w:r>
    </w:p>
    <w:p>
      <w:pPr>
        <w:pStyle w:val="67"/>
      </w:pPr>
      <w:r>
        <w:t>110、柴油车排出的烟色，主要有（　　）。其中，在全负荷和加速工况时以排出黑烟最为常见。</w:t>
      </w:r>
    </w:p>
    <w:p>
      <w:pPr>
        <w:pStyle w:val="69"/>
      </w:pPr>
      <w:r>
        <w:tab/>
      </w:r>
      <w:r>
        <w:t>A、黑烟</w:t>
      </w:r>
      <w:r>
        <w:tab/>
      </w:r>
      <w:r>
        <w:t>B、白烟</w:t>
      </w:r>
    </w:p>
    <w:p>
      <w:pPr>
        <w:pStyle w:val="69"/>
      </w:pPr>
      <w:r>
        <w:tab/>
      </w:r>
      <w:r>
        <w:t>C、蓝烟</w:t>
      </w:r>
      <w:r>
        <w:tab/>
      </w:r>
      <w:r>
        <w:t>D、B、C都正确</w:t>
      </w:r>
    </w:p>
    <w:p>
      <w:pPr>
        <w:pStyle w:val="67"/>
      </w:pPr>
      <w:r>
        <w:t>111、使用气体分析仪时是在汽油机（　　）情况下测量其排气的。</w:t>
      </w:r>
    </w:p>
    <w:p>
      <w:pPr>
        <w:pStyle w:val="70"/>
      </w:pPr>
      <w:r>
        <w:tab/>
      </w:r>
      <w:r>
        <w:t>A、怠速</w:t>
      </w:r>
      <w:r>
        <w:tab/>
      </w:r>
      <w:r>
        <w:t>B、自由加速</w:t>
      </w:r>
      <w:r>
        <w:tab/>
      </w:r>
      <w:r>
        <w:t>C、全负荷</w:t>
      </w:r>
      <w:r>
        <w:tab/>
      </w:r>
      <w:r>
        <w:t>D、减 速</w:t>
      </w:r>
    </w:p>
    <w:p>
      <w:pPr>
        <w:pStyle w:val="67"/>
      </w:pPr>
      <w:r>
        <w:t>112、排气分析仪用来测量装配（　　）汽车排气可见污染物的仪器。</w:t>
      </w:r>
    </w:p>
    <w:p>
      <w:pPr>
        <w:pStyle w:val="69"/>
      </w:pPr>
      <w:r>
        <w:tab/>
      </w:r>
      <w:r>
        <w:t>A、汽油发动机</w:t>
      </w:r>
      <w:r>
        <w:tab/>
      </w:r>
      <w:r>
        <w:t>B、代用燃料发动机</w:t>
      </w:r>
    </w:p>
    <w:p>
      <w:pPr>
        <w:pStyle w:val="69"/>
      </w:pPr>
      <w:r>
        <w:tab/>
      </w:r>
      <w:r>
        <w:t>C、B都正确</w:t>
      </w:r>
      <w:r>
        <w:tab/>
      </w:r>
      <w:r>
        <w:t>D、B都不正确</w:t>
      </w:r>
    </w:p>
    <w:p>
      <w:pPr>
        <w:pStyle w:val="67"/>
      </w:pPr>
      <w:r>
        <w:t>113、活塞行程S与曲柄半径R的关系是（　　）。</w:t>
      </w:r>
    </w:p>
    <w:p>
      <w:pPr>
        <w:pStyle w:val="70"/>
      </w:pPr>
      <w:r>
        <w:tab/>
      </w:r>
      <w:r>
        <w:t>A、S=R/2</w:t>
      </w:r>
      <w:r>
        <w:tab/>
      </w:r>
      <w:r>
        <w:t>B、S=R</w:t>
      </w:r>
      <w:r>
        <w:tab/>
      </w:r>
      <w:r>
        <w:t>C、S=2R</w:t>
      </w:r>
      <w:r>
        <w:tab/>
      </w:r>
      <w:r>
        <w:t>D、S=4R</w:t>
      </w:r>
    </w:p>
    <w:p>
      <w:pPr>
        <w:pStyle w:val="67"/>
      </w:pPr>
      <w:r>
        <w:t>114、通常进气门的气门间隙是（　　）mm。</w:t>
      </w:r>
    </w:p>
    <w:p>
      <w:pPr>
        <w:pStyle w:val="69"/>
      </w:pPr>
      <w:r>
        <w:tab/>
      </w:r>
      <w:r>
        <w:t>A、0.10～0.20</w:t>
      </w:r>
      <w:r>
        <w:tab/>
      </w:r>
      <w:r>
        <w:t>B、0.25～0.30</w:t>
      </w:r>
    </w:p>
    <w:p>
      <w:pPr>
        <w:pStyle w:val="69"/>
      </w:pPr>
      <w:r>
        <w:tab/>
      </w:r>
      <w:r>
        <w:t>C、0.30～0.35</w:t>
      </w:r>
      <w:r>
        <w:tab/>
      </w:r>
      <w:r>
        <w:t>D、0.40～0.45</w:t>
      </w:r>
    </w:p>
    <w:p>
      <w:pPr>
        <w:pStyle w:val="67"/>
      </w:pPr>
      <w:r>
        <w:t>115、AJR发动机机油泵安装在发动机的（　　）。</w:t>
      </w:r>
    </w:p>
    <w:p>
      <w:pPr>
        <w:pStyle w:val="70"/>
      </w:pPr>
      <w:r>
        <w:tab/>
      </w:r>
      <w:r>
        <w:t>A、前端</w:t>
      </w:r>
      <w:r>
        <w:tab/>
      </w:r>
      <w:r>
        <w:t>B、后端</w:t>
      </w:r>
      <w:r>
        <w:tab/>
      </w:r>
      <w:r>
        <w:t>C、侧面</w:t>
      </w:r>
      <w:r>
        <w:tab/>
      </w:r>
      <w:r>
        <w:t>D、下面</w:t>
      </w:r>
    </w:p>
    <w:p>
      <w:pPr>
        <w:pStyle w:val="67"/>
      </w:pPr>
      <w:r>
        <w:t>116、发动机水温过高报警灯报警开关安装在（　　）上。</w:t>
      </w:r>
    </w:p>
    <w:p>
      <w:pPr>
        <w:pStyle w:val="69"/>
      </w:pPr>
      <w:r>
        <w:tab/>
      </w:r>
      <w:r>
        <w:t>A、水道</w:t>
      </w:r>
      <w:r>
        <w:tab/>
      </w:r>
      <w:r>
        <w:t>B、发动机曲轴箱</w:t>
      </w:r>
    </w:p>
    <w:p>
      <w:pPr>
        <w:pStyle w:val="69"/>
      </w:pPr>
      <w:r>
        <w:tab/>
      </w:r>
      <w:r>
        <w:t>C、气门室罩盖</w:t>
      </w:r>
      <w:r>
        <w:tab/>
      </w:r>
      <w:r>
        <w:t>D、节气门体</w:t>
      </w:r>
    </w:p>
    <w:p>
      <w:pPr>
        <w:pStyle w:val="67"/>
      </w:pPr>
      <w:r>
        <w:t>117、水泵的动力源自（　　）。</w:t>
      </w:r>
    </w:p>
    <w:p>
      <w:pPr>
        <w:pStyle w:val="70"/>
      </w:pPr>
      <w:r>
        <w:tab/>
      </w:r>
      <w:r>
        <w:t>A、曲轴</w:t>
      </w:r>
      <w:r>
        <w:tab/>
      </w:r>
      <w:r>
        <w:t>B、凸轮轴</w:t>
      </w:r>
      <w:r>
        <w:tab/>
      </w:r>
      <w:r>
        <w:t>C、平衡轴</w:t>
      </w:r>
      <w:r>
        <w:tab/>
      </w:r>
      <w:r>
        <w:t>D、传动轴</w:t>
      </w:r>
    </w:p>
    <w:p>
      <w:pPr>
        <w:pStyle w:val="67"/>
      </w:pPr>
      <w:r>
        <w:t>118、（　　）的作用是密封冷却液以免泄漏，同时将冷却液与水泵轴承隔离，以保护轴承。</w:t>
      </w:r>
    </w:p>
    <w:p>
      <w:pPr>
        <w:pStyle w:val="70"/>
      </w:pPr>
      <w:r>
        <w:tab/>
      </w:r>
      <w:r>
        <w:t>A、水封</w:t>
      </w:r>
      <w:r>
        <w:tab/>
      </w:r>
      <w:r>
        <w:t>B、叶轮</w:t>
      </w:r>
      <w:r>
        <w:tab/>
      </w:r>
      <w:r>
        <w:t>C、泵轴</w:t>
      </w:r>
      <w:r>
        <w:tab/>
      </w:r>
      <w:r>
        <w:t>D、轴承</w:t>
      </w:r>
    </w:p>
    <w:p>
      <w:pPr>
        <w:pStyle w:val="67"/>
      </w:pPr>
      <w:r>
        <w:t>119、水泵在泵轴处设有（　　），其作用是确定水封是否漏水和排出水泵漏出的水。</w:t>
      </w:r>
    </w:p>
    <w:p>
      <w:pPr>
        <w:pStyle w:val="70"/>
      </w:pPr>
      <w:r>
        <w:tab/>
      </w:r>
      <w:r>
        <w:t>A、溢水孔</w:t>
      </w:r>
      <w:r>
        <w:tab/>
      </w:r>
      <w:r>
        <w:t>B、传感器</w:t>
      </w:r>
      <w:r>
        <w:tab/>
      </w:r>
      <w:r>
        <w:t>C、加油孔</w:t>
      </w:r>
      <w:r>
        <w:tab/>
      </w:r>
      <w:r>
        <w:t>D、检测孔</w:t>
      </w:r>
    </w:p>
    <w:p>
      <w:pPr>
        <w:pStyle w:val="67"/>
      </w:pPr>
      <w:r>
        <w:t>120、发动机纵向传出的转矩经驱动桥后，使其改变（　　）º方向，横向传出。</w:t>
      </w:r>
    </w:p>
    <w:p>
      <w:pPr>
        <w:pStyle w:val="70"/>
      </w:pPr>
      <w:r>
        <w:tab/>
      </w:r>
      <w:r>
        <w:t>A、60</w:t>
      </w:r>
      <w:r>
        <w:tab/>
      </w:r>
      <w:r>
        <w:t>B、90</w:t>
      </w:r>
      <w:r>
        <w:tab/>
      </w:r>
      <w:r>
        <w:t>C、120</w:t>
      </w:r>
      <w:r>
        <w:tab/>
      </w:r>
      <w:r>
        <w:t>D、180</w:t>
      </w:r>
    </w:p>
    <w:p>
      <w:pPr>
        <w:pStyle w:val="67"/>
      </w:pPr>
      <w:r>
        <w:t>121、汽车离合器压盘及飞轮表面烧蚀的主要原因是离合器（　　）。</w:t>
      </w:r>
    </w:p>
    <w:p>
      <w:pPr>
        <w:pStyle w:val="69"/>
      </w:pPr>
      <w:r>
        <w:tab/>
      </w:r>
      <w:r>
        <w:t>A、打滑</w:t>
      </w:r>
      <w:r>
        <w:tab/>
      </w:r>
      <w:r>
        <w:t>B、分离不彻底</w:t>
      </w:r>
    </w:p>
    <w:p>
      <w:pPr>
        <w:pStyle w:val="69"/>
      </w:pPr>
      <w:r>
        <w:tab/>
      </w:r>
      <w:r>
        <w:t>C、动平衡破坏</w:t>
      </w:r>
      <w:r>
        <w:tab/>
      </w:r>
      <w:r>
        <w:t>D、踏板自由行程过大</w:t>
      </w:r>
    </w:p>
    <w:p>
      <w:pPr>
        <w:pStyle w:val="67"/>
      </w:pPr>
      <w:r>
        <w:t>122、发动机转速升高，供油提前角应（　　）。</w:t>
      </w:r>
    </w:p>
    <w:p>
      <w:pPr>
        <w:pStyle w:val="70"/>
      </w:pPr>
      <w:r>
        <w:tab/>
      </w:r>
      <w:r>
        <w:t>A、变小</w:t>
      </w:r>
      <w:r>
        <w:tab/>
      </w:r>
      <w:r>
        <w:t>B、变大</w:t>
      </w:r>
      <w:r>
        <w:tab/>
      </w:r>
      <w:r>
        <w:t>C、不变</w:t>
      </w:r>
      <w:r>
        <w:tab/>
      </w:r>
      <w:r>
        <w:t>D、随机变化</w:t>
      </w:r>
    </w:p>
    <w:p>
      <w:pPr>
        <w:pStyle w:val="67"/>
      </w:pPr>
      <w:r>
        <w:t>123、安装正时皮带或正时链条及导链板，调整（　　）张紧轮或正时链条导链板张紧器到规定的程度。</w:t>
      </w:r>
    </w:p>
    <w:p>
      <w:pPr>
        <w:pStyle w:val="70"/>
      </w:pPr>
      <w:r>
        <w:tab/>
      </w:r>
      <w:r>
        <w:t>A、正时齿轮</w:t>
      </w:r>
      <w:r>
        <w:tab/>
      </w:r>
      <w:r>
        <w:t>B、发电机皮带</w:t>
      </w:r>
      <w:r>
        <w:tab/>
      </w:r>
      <w:r>
        <w:t>C、正时皮带</w:t>
      </w:r>
      <w:r>
        <w:tab/>
      </w:r>
      <w:r>
        <w:t>D、水泵皮带</w:t>
      </w:r>
    </w:p>
    <w:p>
      <w:pPr>
        <w:pStyle w:val="67"/>
      </w:pPr>
      <w:r>
        <w:t>124、在做车轮动平衡检测时，其主轴的振幅的大小，在一定转速下，只与（　　）。</w:t>
      </w:r>
    </w:p>
    <w:p>
      <w:pPr>
        <w:pStyle w:val="69"/>
      </w:pPr>
      <w:r>
        <w:tab/>
      </w:r>
      <w:r>
        <w:t>A、车轮不平衡质量大小成正比</w:t>
      </w:r>
      <w:r>
        <w:tab/>
      </w:r>
      <w:r>
        <w:t>B、车轮不平衡质量大小成反比</w:t>
      </w:r>
    </w:p>
    <w:p>
      <w:pPr>
        <w:pStyle w:val="69"/>
      </w:pPr>
      <w:r>
        <w:tab/>
      </w:r>
      <w:r>
        <w:t>C、车轮质量成正比</w:t>
      </w:r>
      <w:r>
        <w:tab/>
      </w:r>
      <w:r>
        <w:t>D、与车轮质量成反比</w:t>
      </w:r>
    </w:p>
    <w:p>
      <w:pPr>
        <w:pStyle w:val="67"/>
      </w:pPr>
      <w:r>
        <w:t>125、诊断与排除底盘异响需要下列哪些操作准备（　　）。</w:t>
      </w:r>
    </w:p>
    <w:p>
      <w:pPr>
        <w:pStyle w:val="69"/>
      </w:pPr>
      <w:r>
        <w:tab/>
      </w:r>
      <w:r>
        <w:t>A、汽车故障排除工具及设备</w:t>
      </w:r>
      <w:r>
        <w:tab/>
      </w:r>
      <w:r>
        <w:t>B、故障诊断仪</w:t>
      </w:r>
    </w:p>
    <w:p>
      <w:pPr>
        <w:pStyle w:val="69"/>
      </w:pPr>
      <w:r>
        <w:tab/>
      </w:r>
      <w:r>
        <w:t>C、一台无故障的汽车</w:t>
      </w:r>
      <w:r>
        <w:tab/>
      </w:r>
      <w:r>
        <w:t>D、解码仪</w:t>
      </w:r>
    </w:p>
    <w:p>
      <w:pPr>
        <w:pStyle w:val="67"/>
      </w:pPr>
      <w:r>
        <w:t>126、丰田凌志 LS400 轿车电子控制悬架系统故障码读取时用跨接线将诊断插座(TDCL)的端子（　　）连接。</w:t>
      </w:r>
    </w:p>
    <w:p>
      <w:pPr>
        <w:pStyle w:val="69"/>
      </w:pPr>
      <w:r>
        <w:tab/>
      </w:r>
      <w:r>
        <w:t>A、TE1 与 E1</w:t>
      </w:r>
      <w:r>
        <w:tab/>
      </w:r>
      <w:r>
        <w:t>B、Ts 与 E1</w:t>
      </w:r>
    </w:p>
    <w:p>
      <w:pPr>
        <w:pStyle w:val="69"/>
      </w:pPr>
      <w:r>
        <w:tab/>
      </w:r>
      <w:r>
        <w:t>C、TT 与 E1</w:t>
      </w:r>
      <w:r>
        <w:tab/>
      </w:r>
      <w:r>
        <w:t>D、TC 与 E1</w:t>
      </w:r>
    </w:p>
    <w:p>
      <w:pPr>
        <w:pStyle w:val="67"/>
      </w:pPr>
      <w:r>
        <w:t>127、在空载状态下，驻车制动装置应能保证车辆在坡度为（　　）的坡道上固定不动。</w:t>
      </w:r>
    </w:p>
    <w:p>
      <w:pPr>
        <w:pStyle w:val="70"/>
      </w:pPr>
      <w:r>
        <w:tab/>
      </w:r>
      <w:r>
        <w:t>A、8%</w:t>
      </w:r>
      <w:r>
        <w:tab/>
      </w:r>
      <w:r>
        <w:t>B、15%</w:t>
      </w:r>
      <w:r>
        <w:tab/>
      </w:r>
      <w:r>
        <w:t>C、20%</w:t>
      </w:r>
      <w:r>
        <w:tab/>
      </w:r>
      <w:r>
        <w:t>D、24%</w:t>
      </w:r>
    </w:p>
    <w:p>
      <w:pPr>
        <w:pStyle w:val="67"/>
      </w:pPr>
      <w:r>
        <w:t>128、桑塔纳轿车的离合器踏板自由行程为（　　）mm。</w:t>
      </w:r>
    </w:p>
    <w:p>
      <w:pPr>
        <w:pStyle w:val="70"/>
      </w:pPr>
      <w:r>
        <w:tab/>
      </w:r>
      <w:r>
        <w:t>A、15~25</w:t>
      </w:r>
      <w:r>
        <w:tab/>
      </w:r>
      <w:r>
        <w:t>B、25~35</w:t>
      </w:r>
      <w:r>
        <w:tab/>
      </w:r>
      <w:r>
        <w:t>C、35~45</w:t>
      </w:r>
      <w:r>
        <w:tab/>
      </w:r>
      <w:r>
        <w:t>D、45~55</w:t>
      </w:r>
    </w:p>
    <w:p>
      <w:pPr>
        <w:pStyle w:val="67"/>
      </w:pPr>
      <w:r>
        <w:t>129、离合器踏板自由行程过大，会造成离合器（　　）。</w:t>
      </w:r>
    </w:p>
    <w:p>
      <w:pPr>
        <w:pStyle w:val="70"/>
      </w:pPr>
      <w:r>
        <w:tab/>
      </w:r>
      <w:r>
        <w:t>A、离合器打滑</w:t>
      </w:r>
      <w:r>
        <w:tab/>
      </w:r>
      <w:r>
        <w:t>B、分离不彻底</w:t>
      </w:r>
      <w:r>
        <w:tab/>
      </w:r>
      <w:r>
        <w:t>C、起步发抖</w:t>
      </w:r>
      <w:r>
        <w:tab/>
      </w:r>
      <w:r>
        <w:t>D、半接合状态</w:t>
      </w:r>
    </w:p>
    <w:p>
      <w:pPr>
        <w:pStyle w:val="67"/>
      </w:pPr>
      <w:r>
        <w:t>130、制动力是由（　　）输出给二次仪表的。</w:t>
      </w:r>
    </w:p>
    <w:p>
      <w:pPr>
        <w:pStyle w:val="70"/>
      </w:pPr>
      <w:r>
        <w:tab/>
      </w:r>
      <w:r>
        <w:t>A、压力传感器</w:t>
      </w:r>
      <w:r>
        <w:tab/>
      </w:r>
      <w:r>
        <w:t>B、自整角电机</w:t>
      </w:r>
      <w:r>
        <w:tab/>
      </w:r>
      <w:r>
        <w:t>C、缓冲器</w:t>
      </w:r>
      <w:r>
        <w:tab/>
      </w:r>
      <w:r>
        <w:t>D、测力臂</w:t>
      </w:r>
    </w:p>
    <w:p>
      <w:pPr>
        <w:pStyle w:val="67"/>
      </w:pPr>
      <w:r>
        <w:t>131、当膜片弹簧离合器的从动盘磨损，压盘前移，膜片弹簧对压盘的压力将（　　）。</w:t>
      </w:r>
    </w:p>
    <w:p>
      <w:pPr>
        <w:pStyle w:val="70"/>
      </w:pPr>
      <w:r>
        <w:tab/>
      </w:r>
      <w:r>
        <w:t>A、减小</w:t>
      </w:r>
      <w:r>
        <w:tab/>
      </w:r>
      <w:r>
        <w:t>B、增大</w:t>
      </w:r>
      <w:r>
        <w:tab/>
      </w:r>
      <w:r>
        <w:t>C、不变</w:t>
      </w:r>
      <w:r>
        <w:tab/>
      </w:r>
      <w:r>
        <w:t>D、消失</w:t>
      </w:r>
    </w:p>
    <w:p>
      <w:pPr>
        <w:pStyle w:val="67"/>
      </w:pPr>
      <w:r>
        <w:t>132、驻车制动在达到规定的制动效能时，操纵装置不得超过全行程的（　　）。</w:t>
      </w:r>
    </w:p>
    <w:p>
      <w:pPr>
        <w:pStyle w:val="70"/>
      </w:pPr>
      <w:r>
        <w:tab/>
      </w:r>
      <w:r>
        <w:t>A、1/2</w:t>
      </w:r>
      <w:r>
        <w:tab/>
      </w:r>
      <w:r>
        <w:t>B、3/4</w:t>
      </w:r>
      <w:r>
        <w:tab/>
      </w:r>
      <w:r>
        <w:t>C、4/5</w:t>
      </w:r>
      <w:r>
        <w:tab/>
      </w:r>
      <w:r>
        <w:t>D、2/3</w:t>
      </w:r>
    </w:p>
    <w:p>
      <w:pPr>
        <w:pStyle w:val="67"/>
      </w:pPr>
      <w:r>
        <w:t>133、双速刮水器的控制开关在（　　）位置时电动机转速较低。</w:t>
      </w:r>
    </w:p>
    <w:p>
      <w:pPr>
        <w:pStyle w:val="70"/>
      </w:pPr>
      <w:r>
        <w:tab/>
      </w:r>
      <w:r>
        <w:t>A、“0”档</w:t>
      </w:r>
      <w:r>
        <w:tab/>
      </w:r>
      <w:r>
        <w:t>B、“Ⅰ”档</w:t>
      </w:r>
      <w:r>
        <w:tab/>
      </w:r>
      <w:r>
        <w:t>C、“Ⅱ”档</w:t>
      </w:r>
      <w:r>
        <w:tab/>
      </w:r>
      <w:r>
        <w:t>D、任何档位</w:t>
      </w:r>
    </w:p>
    <w:p>
      <w:pPr>
        <w:pStyle w:val="67"/>
      </w:pPr>
      <w:r>
        <w:t>134、车速表产生误差的主要原因有（　　）。</w:t>
      </w:r>
    </w:p>
    <w:p>
      <w:pPr>
        <w:pStyle w:val="69"/>
      </w:pPr>
      <w:r>
        <w:tab/>
      </w:r>
      <w:r>
        <w:t>A、车速表本身的故障</w:t>
      </w:r>
      <w:r>
        <w:tab/>
      </w:r>
      <w:r>
        <w:t>B、车轮的磨损</w:t>
      </w:r>
    </w:p>
    <w:p>
      <w:pPr>
        <w:pStyle w:val="69"/>
      </w:pPr>
      <w:r>
        <w:tab/>
      </w:r>
      <w:r>
        <w:t>C、B都正确</w:t>
      </w:r>
      <w:r>
        <w:tab/>
      </w:r>
      <w:r>
        <w:t>D、B都不正确</w:t>
      </w:r>
    </w:p>
    <w:p>
      <w:pPr>
        <w:pStyle w:val="67"/>
      </w:pPr>
      <w:r>
        <w:t>135、车速表的检测方法有（　　）。</w:t>
      </w:r>
    </w:p>
    <w:p>
      <w:pPr>
        <w:pStyle w:val="70"/>
      </w:pPr>
      <w:r>
        <w:tab/>
      </w:r>
      <w:r>
        <w:t>A、道路实验法</w:t>
      </w:r>
      <w:r>
        <w:tab/>
      </w:r>
      <w:r>
        <w:t>B、台架实验法</w:t>
      </w:r>
      <w:r>
        <w:tab/>
      </w:r>
      <w:r>
        <w:t>C、B都正确</w:t>
      </w:r>
      <w:r>
        <w:tab/>
      </w:r>
      <w:r>
        <w:t>D、B都不正确</w:t>
      </w:r>
    </w:p>
    <w:p>
      <w:pPr>
        <w:pStyle w:val="67"/>
      </w:pPr>
      <w:r>
        <w:t>136、机动车喇叭在车前2M，高1.2M的地方测得声级应为（　　）。</w:t>
      </w:r>
    </w:p>
    <w:p>
      <w:pPr>
        <w:pStyle w:val="69"/>
      </w:pPr>
      <w:r>
        <w:tab/>
      </w:r>
      <w:r>
        <w:t>A、90-115dB</w:t>
      </w:r>
      <w:r>
        <w:tab/>
      </w:r>
      <w:r>
        <w:t>B、70—85dB</w:t>
      </w:r>
    </w:p>
    <w:p>
      <w:pPr>
        <w:pStyle w:val="69"/>
      </w:pPr>
      <w:r>
        <w:tab/>
      </w:r>
      <w:r>
        <w:t>C、115dB以上</w:t>
      </w:r>
      <w:r>
        <w:tab/>
      </w:r>
      <w:r>
        <w:t>D、不得大于 90dB</w:t>
      </w:r>
    </w:p>
    <w:p>
      <w:pPr>
        <w:pStyle w:val="67"/>
      </w:pPr>
      <w:r>
        <w:t>137、在用二灯制摩托车的前照灯发光强度应达到（　　）。</w:t>
      </w:r>
    </w:p>
    <w:p>
      <w:pPr>
        <w:pStyle w:val="69"/>
      </w:pPr>
      <w:r>
        <w:tab/>
      </w:r>
      <w:r>
        <w:t>A、8000cd</w:t>
      </w:r>
      <w:r>
        <w:tab/>
      </w:r>
      <w:r>
        <w:t>B、5000cd</w:t>
      </w:r>
    </w:p>
    <w:p>
      <w:pPr>
        <w:pStyle w:val="69"/>
      </w:pPr>
      <w:r>
        <w:tab/>
      </w:r>
      <w:r>
        <w:t>C、6000cd</w:t>
      </w:r>
      <w:r>
        <w:tab/>
      </w:r>
      <w:r>
        <w:t>D、10000cd</w:t>
      </w:r>
    </w:p>
    <w:p>
      <w:pPr>
        <w:pStyle w:val="67"/>
      </w:pPr>
      <w:r>
        <w:t>138、采用CCD成像技术的全自动灯光检验仪基本结构主要由（　　）组成。</w:t>
      </w:r>
    </w:p>
    <w:p>
      <w:pPr>
        <w:pStyle w:val="69"/>
      </w:pPr>
      <w:r>
        <w:tab/>
      </w:r>
      <w:r>
        <w:t>A、光接收箱</w:t>
      </w:r>
      <w:r>
        <w:tab/>
      </w:r>
      <w:r>
        <w:t>B、主机</w:t>
      </w:r>
    </w:p>
    <w:p>
      <w:pPr>
        <w:pStyle w:val="69"/>
      </w:pPr>
      <w:r>
        <w:tab/>
      </w:r>
      <w:r>
        <w:t>C、立柱和底座</w:t>
      </w:r>
      <w:r>
        <w:tab/>
      </w:r>
      <w:r>
        <w:t>D、B、C都正确</w:t>
      </w:r>
    </w:p>
    <w:p>
      <w:pPr>
        <w:pStyle w:val="67"/>
      </w:pPr>
      <w:r>
        <w:t>139、前照灯远光发光强度检验工位最少检验时间为（　　）。</w:t>
      </w:r>
    </w:p>
    <w:p>
      <w:pPr>
        <w:pStyle w:val="70"/>
      </w:pPr>
      <w:r>
        <w:tab/>
      </w:r>
      <w:r>
        <w:t>A、30s</w:t>
      </w:r>
      <w:r>
        <w:tab/>
      </w:r>
      <w:r>
        <w:t>B、40s</w:t>
      </w:r>
      <w:r>
        <w:tab/>
      </w:r>
      <w:r>
        <w:t>C、50s</w:t>
      </w:r>
      <w:r>
        <w:tab/>
      </w:r>
      <w:r>
        <w:t>D、60s</w:t>
      </w:r>
    </w:p>
    <w:p>
      <w:pPr>
        <w:pStyle w:val="67"/>
      </w:pPr>
      <w:r>
        <w:t>140、欧式制动台滚筒启动顺序为（　　）。</w:t>
      </w:r>
    </w:p>
    <w:p>
      <w:pPr>
        <w:pStyle w:val="70"/>
      </w:pPr>
      <w:r>
        <w:tab/>
      </w:r>
      <w:r>
        <w:t>A、同时启动</w:t>
      </w:r>
      <w:r>
        <w:tab/>
      </w:r>
      <w:r>
        <w:t>B、分别启动</w:t>
      </w:r>
      <w:r>
        <w:tab/>
      </w:r>
      <w:r>
        <w:t>C、差速启动</w:t>
      </w:r>
      <w:r>
        <w:tab/>
      </w:r>
      <w:r>
        <w:t>D、同时测试</w:t>
      </w:r>
    </w:p>
    <w:p>
      <w:pPr>
        <w:rPr>
          <w:rFonts w:ascii="宋体" w:hAnsi="宋体"/>
          <w:lang w:eastAsia="zh-CN"/>
        </w:rPr>
      </w:pPr>
    </w:p>
    <w:tbl>
      <w:tblPr>
        <w:tblStyle w:val="25"/>
        <w:tblW w:w="244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
      <w:tblGrid>
        <w:gridCol w:w="1008"/>
        <w:gridCol w:w="14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得　分</w:t>
            </w:r>
          </w:p>
        </w:tc>
        <w:tc>
          <w:tcPr>
            <w:tcW w:w="1440" w:type="dxa"/>
            <w:vAlign w:val="center"/>
          </w:tcPr>
          <w:p>
            <w:pPr>
              <w:keepNext/>
              <w:jc w:val="cente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评分人</w:t>
            </w:r>
          </w:p>
        </w:tc>
        <w:tc>
          <w:tcPr>
            <w:tcW w:w="1440" w:type="dxa"/>
            <w:vAlign w:val="center"/>
          </w:tcPr>
          <w:p>
            <w:pPr>
              <w:keepNext/>
              <w:jc w:val="center"/>
            </w:pPr>
          </w:p>
        </w:tc>
      </w:tr>
    </w:tbl>
    <w:p>
      <w:pPr>
        <w:pStyle w:val="71"/>
      </w:pPr>
      <w:r>
        <w:t>二、判断题（每题0.5分，共30分。）</w:t>
      </w:r>
    </w:p>
    <w:p>
      <w:pPr>
        <w:pStyle w:val="67"/>
      </w:pPr>
      <w:r>
        <w:t>141、（　　）使用风炮等气动工具时不得使用这些工具玩耍，以免出现意外。</w:t>
      </w:r>
    </w:p>
    <w:p>
      <w:pPr>
        <w:pStyle w:val="67"/>
      </w:pPr>
      <w:r>
        <w:t>142、（　　）汽车车间应加强对易燃物品的管理,除在用的以外,存放在指定位置。</w:t>
      </w:r>
    </w:p>
    <w:p>
      <w:pPr>
        <w:pStyle w:val="67"/>
      </w:pPr>
      <w:r>
        <w:t>143、（　　）绝缘手套的作用是在操作人员触碰高压元器件的时候,避免操作人员手部触电产生安全事故。</w:t>
      </w:r>
    </w:p>
    <w:p>
      <w:pPr>
        <w:pStyle w:val="67"/>
      </w:pPr>
      <w:r>
        <w:t>144、（　　）维修企业管理制度包括: 质量管理制度、安全生产管理制度、车辆维修档案管理制度、人员培训制度、设备管理制度及配件管理制度。</w:t>
      </w:r>
    </w:p>
    <w:p>
      <w:pPr>
        <w:pStyle w:val="67"/>
      </w:pPr>
      <w:r>
        <w:t>145、（　　）滤纸式烟度计的控制装置包括抽气泵开关、滤纸进给机构和压缩空气清洗机构。</w:t>
      </w:r>
    </w:p>
    <w:p>
      <w:pPr>
        <w:pStyle w:val="67"/>
      </w:pPr>
      <w:r>
        <w:t>146、（　　）磁感应强度是反映磁场强弱的物理量。</w:t>
      </w:r>
    </w:p>
    <w:p>
      <w:pPr>
        <w:pStyle w:val="67"/>
      </w:pPr>
      <w:r>
        <w:t>147、（　　）集成电路常用英文字母IC表示。</w:t>
      </w:r>
    </w:p>
    <w:p>
      <w:pPr>
        <w:pStyle w:val="67"/>
      </w:pPr>
      <w:r>
        <w:t>148、（　　）门电路有一个或多个输入端。</w:t>
      </w:r>
    </w:p>
    <w:p>
      <w:pPr>
        <w:pStyle w:val="67"/>
      </w:pPr>
      <w:r>
        <w:t>149、（　　）进行连杆轴承间隙的调整时，如间隙超过极限时，则应更换连杆轴承。</w:t>
      </w:r>
    </w:p>
    <w:p>
      <w:pPr>
        <w:pStyle w:val="67"/>
      </w:pPr>
      <w:r>
        <w:t>150、（　　）常流式液压动力转向装置因泄漏大、消耗功率高，故目前应用较少。</w:t>
      </w:r>
    </w:p>
    <w:p>
      <w:pPr>
        <w:pStyle w:val="67"/>
      </w:pPr>
      <w:r>
        <w:t>151、（　　）整体式车身的扭转变形与车架式车身的扭转变形相似，可以通过测量车身高度和宽度方向的配合公差来判别。</w:t>
      </w:r>
    </w:p>
    <w:p>
      <w:pPr>
        <w:pStyle w:val="67"/>
      </w:pPr>
      <w:r>
        <w:t>152、（　　）黑色金属是指钢铁类材料。</w:t>
      </w:r>
    </w:p>
    <w:p>
      <w:pPr>
        <w:pStyle w:val="67"/>
      </w:pPr>
      <w:r>
        <w:t>153、（　　）纯铜主要用于制造导电器材。</w:t>
      </w:r>
    </w:p>
    <w:p>
      <w:pPr>
        <w:pStyle w:val="67"/>
      </w:pPr>
      <w:r>
        <w:t>154、（　　）根据当地冬季的最低气温选用适当冰点牌号的防冻液，冰点至少应低于最低气温5℃。</w:t>
      </w:r>
    </w:p>
    <w:p>
      <w:pPr>
        <w:pStyle w:val="67"/>
      </w:pPr>
      <w:r>
        <w:t>155、（　　）乙二醇有毒，使用中严禁用嘴吸吮，手接触后要洗净。</w:t>
      </w:r>
    </w:p>
    <w:p>
      <w:pPr>
        <w:pStyle w:val="67"/>
      </w:pPr>
      <w:r>
        <w:t>156、（　　）机动车制动性能的好坏可用制动力、制动距离和制动时间来衡量。</w:t>
      </w:r>
    </w:p>
    <w:p>
      <w:pPr>
        <w:pStyle w:val="67"/>
      </w:pPr>
      <w:r>
        <w:t>157、（　　）中华人民共和国境内的车辆驾驶人、行人、乘车人以及与道路交通活动有关的单位和个人都应当遵守《中华人民共和国道路交通安全法》。</w:t>
      </w:r>
    </w:p>
    <w:p>
      <w:pPr>
        <w:pStyle w:val="67"/>
      </w:pPr>
      <w:r>
        <w:t>158、（　　）GB18285-2018《点燃式发动机汽车排气污染物排放限值及测量方法》中规定，废气分析仪取样管应插入排气管深度200mm。</w:t>
      </w:r>
    </w:p>
    <w:p>
      <w:pPr>
        <w:pStyle w:val="67"/>
      </w:pPr>
      <w:r>
        <w:t>159、（　　）简易瞬态工况法应对过量空气系数进行测定，其限值应在1.00+0.05之间，或者在制造厂规定的范围内，如果不在限值范围内，判定为不合格。</w:t>
      </w:r>
    </w:p>
    <w:p>
      <w:pPr>
        <w:pStyle w:val="67"/>
      </w:pPr>
      <w:r>
        <w:t>160、（　　）VIN车辆识别代号编码由一组英文和阿拉伯数字组成,共16位。</w:t>
      </w:r>
    </w:p>
    <w:p>
      <w:pPr>
        <w:pStyle w:val="67"/>
      </w:pPr>
      <w:r>
        <w:t>161、（　　）简易瞬态工况污染物排放测试设备至少包括能模拟加速惯量和等速负荷的底盘测功机、氮氧化物分析仪和烟度计组成的取样分析系统、流量测量系统、发动机转速计、OBD诊断仪、冷却装置、气象站和自动控制系统组成。</w:t>
      </w:r>
    </w:p>
    <w:p>
      <w:pPr>
        <w:pStyle w:val="67"/>
      </w:pPr>
      <w:r>
        <w:t>162、（　　）车辆管理所应当审查提交的证明、凭证，收回未灭失、丢失或者损毁的号牌，自受理之日起十五日内补发、换发号牌，原机动车号牌号码不变。</w:t>
      </w:r>
    </w:p>
    <w:p>
      <w:pPr>
        <w:pStyle w:val="67"/>
      </w:pPr>
      <w:r>
        <w:t>163、（　　）轮距载客汽车特征参数检查的项目。</w:t>
      </w:r>
    </w:p>
    <w:p>
      <w:pPr>
        <w:pStyle w:val="67"/>
      </w:pPr>
      <w:r>
        <w:t>164、（　　）轴距载货汽车特征参数检查的项目。</w:t>
      </w:r>
    </w:p>
    <w:p>
      <w:pPr>
        <w:pStyle w:val="67"/>
      </w:pPr>
      <w:r>
        <w:t>165、（　　）核定载人数是挂车特征参数检查的必检项目。</w:t>
      </w:r>
    </w:p>
    <w:p>
      <w:pPr>
        <w:pStyle w:val="67"/>
      </w:pPr>
      <w:r>
        <w:t>166、（　　）单轴货车，每侧单轮胎的最大允许轴荷限值为1000kg。</w:t>
      </w:r>
    </w:p>
    <w:p>
      <w:pPr>
        <w:pStyle w:val="67"/>
      </w:pPr>
      <w:r>
        <w:t>167、（　　）客车应设置乘客通道或无障碍通路，并保证在不拆卸或手动翻转任何部件的情况下，符合规定 的通道测量装置能顺利通过。</w:t>
      </w:r>
    </w:p>
    <w:p>
      <w:pPr>
        <w:pStyle w:val="67"/>
      </w:pPr>
      <w:r>
        <w:t>168、（　　）部分汽车上已使用氙气灯作为前照灯代替金属卤素灯。其照度可提高两倍。节省能耗近50%，但它的启动电压要达到25kV.</w:t>
      </w:r>
    </w:p>
    <w:p>
      <w:pPr>
        <w:pStyle w:val="67"/>
      </w:pPr>
      <w:r>
        <w:t>169、（　　）若左转向灯搭铁不良，则右转向工作也不正常。</w:t>
      </w:r>
    </w:p>
    <w:p>
      <w:pPr>
        <w:pStyle w:val="67"/>
      </w:pPr>
      <w:r>
        <w:t>170、（　　）要点亮雾灯前,要先点亮示宽灯。只有在示宽灯开关闭合的情况下,再闭合雾灯开关,雾灯才能够点亮。</w:t>
      </w:r>
    </w:p>
    <w:p>
      <w:pPr>
        <w:pStyle w:val="67"/>
      </w:pPr>
      <w:r>
        <w:t>171、（　　）轮胎耐磨性能取决于轮胎结构、花纹、胎面、使用条件。</w:t>
      </w:r>
    </w:p>
    <w:p>
      <w:pPr>
        <w:pStyle w:val="67"/>
      </w:pPr>
      <w:r>
        <w:t>172、（　　）乘用车多为承载式车身。</w:t>
      </w:r>
    </w:p>
    <w:p>
      <w:pPr>
        <w:pStyle w:val="67"/>
      </w:pPr>
      <w:r>
        <w:t>173、（　　）喷涂和粘贴车身广告需经工商行政管理部门审批，未经批准一律不准在车身上做广告。</w:t>
      </w:r>
    </w:p>
    <w:p>
      <w:pPr>
        <w:pStyle w:val="67"/>
      </w:pPr>
      <w:r>
        <w:t>174、（　　）纯电动汽车、插电式混合动力汽车在车辆起步且车速低于 20km/h 时，应能给车外人员发出 适当的提示性声响。</w:t>
      </w:r>
    </w:p>
    <w:p>
      <w:pPr>
        <w:pStyle w:val="67"/>
      </w:pPr>
      <w:r>
        <w:t>175、（　　）齿轮齿条转向器中,由于主动齿轮小,转矩传递性不好，转向会相对较重。</w:t>
      </w:r>
    </w:p>
    <w:p>
      <w:pPr>
        <w:pStyle w:val="67"/>
      </w:pPr>
      <w:r>
        <w:t>176、（　　）万向传动装置一般由万向节、传动轴和中间支撑组成。</w:t>
      </w:r>
    </w:p>
    <w:p>
      <w:pPr>
        <w:pStyle w:val="67"/>
      </w:pPr>
      <w:r>
        <w:t>177、（　　）行车制动系的踏板自由行程越大越好。</w:t>
      </w:r>
    </w:p>
    <w:p>
      <w:pPr>
        <w:pStyle w:val="67"/>
      </w:pPr>
      <w:r>
        <w:t>178、（　　）使用儿童安全座椅，是保护儿童乘车安全的有效手段，“可将婴儿道路交通事故死亡可能性降低70%。</w:t>
      </w:r>
    </w:p>
    <w:p>
      <w:pPr>
        <w:pStyle w:val="67"/>
      </w:pPr>
      <w:r>
        <w:t>179、（　　）总质量大于 7500kg 的货车和货车底盘改装的专项作业车，还应在左右两侧至少各设置一面广角后视镜。</w:t>
      </w:r>
    </w:p>
    <w:p>
      <w:pPr>
        <w:pStyle w:val="67"/>
      </w:pPr>
      <w:r>
        <w:t>180、（　　）机动车的后风窗玻璃必须装备刮水器。</w:t>
      </w:r>
    </w:p>
    <w:p>
      <w:pPr>
        <w:pStyle w:val="67"/>
      </w:pPr>
      <w:r>
        <w:t>181、（　　）齿轮齿条式转向机构的转向输入为与转向轴相连的主动小齿轮，转向齿条与横拉杆相连带动车轮偏转.</w:t>
      </w:r>
    </w:p>
    <w:p>
      <w:pPr>
        <w:pStyle w:val="67"/>
      </w:pPr>
      <w:r>
        <w:t>182、（　　）EQ1092F车转向盘自由转动量应为15°～20°。</w:t>
      </w:r>
    </w:p>
    <w:p>
      <w:pPr>
        <w:pStyle w:val="67"/>
      </w:pPr>
      <w:r>
        <w:t>183、（　　）侧滑台摆臂传递弹簧拉力，使滑动板回位并定位。</w:t>
      </w:r>
    </w:p>
    <w:p>
      <w:pPr>
        <w:pStyle w:val="67"/>
      </w:pPr>
      <w:r>
        <w:t>184、（　　）车辆在前进、后退制动时，如两制动蹄都是助势蹄时，则该制动器是双向平衡式制动器。</w:t>
      </w:r>
    </w:p>
    <w:p>
      <w:pPr>
        <w:pStyle w:val="67"/>
      </w:pPr>
      <w:r>
        <w:t>185、（　　）GB18565-2016规定，M1类乘用车的前轴制动率不大于60%、制动不平衡率不小于24%为合格。</w:t>
      </w:r>
    </w:p>
    <w:p>
      <w:pPr>
        <w:pStyle w:val="67"/>
      </w:pPr>
      <w:r>
        <w:t>186、（　　）台试检验车辆制动力时发生车辆后移现象，其测出的力为车轮的制动力。</w:t>
      </w:r>
    </w:p>
    <w:p>
      <w:pPr>
        <w:pStyle w:val="67"/>
      </w:pPr>
      <w:r>
        <w:t>187、（　　）利用不分光红外线气体分析仪，可以测量出汽油机废气中的CO、HC和N0x的含量。</w:t>
      </w:r>
    </w:p>
    <w:p>
      <w:pPr>
        <w:pStyle w:val="67"/>
      </w:pPr>
      <w:r>
        <w:t>188、（　　）滤纸的染黑度用0～10波许单位(Rb)表示。规定全白滤纸的波许单位为0，全黑滤纸的波许单位为10。</w:t>
      </w:r>
    </w:p>
    <w:p>
      <w:pPr>
        <w:pStyle w:val="67"/>
      </w:pPr>
      <w:r>
        <w:t>189、（　　）炭烟能影响道路上的能见度，并因含有少量带有特殊臭味的乙醛，往往引起人们的恶心和头晕。</w:t>
      </w:r>
    </w:p>
    <w:p>
      <w:pPr>
        <w:pStyle w:val="67"/>
      </w:pPr>
      <w:r>
        <w:t>190、（　　）拔下燃油蒸气炭罐的真空软管，如果怠速时有吸力，说明电磁阀有故障。</w:t>
      </w:r>
    </w:p>
    <w:p>
      <w:pPr>
        <w:pStyle w:val="67"/>
      </w:pPr>
      <w:r>
        <w:t>191、（　　）评价一台电脑诊断仪的优劣可以看它能否检测多个系统和各种车型。</w:t>
      </w:r>
    </w:p>
    <w:p>
      <w:pPr>
        <w:pStyle w:val="67"/>
      </w:pPr>
      <w:r>
        <w:t>192、（　　）汽车最小离地间隙是汽车在空载时，底盘部分最低点与地面间的距离。</w:t>
      </w:r>
    </w:p>
    <w:p>
      <w:pPr>
        <w:pStyle w:val="67"/>
      </w:pPr>
      <w:r>
        <w:t>193、（　　）离合器压盘产生裂纹应焊修。</w:t>
      </w:r>
    </w:p>
    <w:p>
      <w:pPr>
        <w:pStyle w:val="67"/>
      </w:pPr>
      <w:r>
        <w:t>194、（　　）离合器盖与压盘松动不会有异响发生。</w:t>
      </w:r>
    </w:p>
    <w:p>
      <w:pPr>
        <w:pStyle w:val="67"/>
      </w:pPr>
      <w:r>
        <w:t>195、（　　）静平衡的车轮一定动平衡。</w:t>
      </w:r>
    </w:p>
    <w:p>
      <w:pPr>
        <w:pStyle w:val="67"/>
      </w:pPr>
      <w:r>
        <w:t>196、（　　）制动时汽车的方向稳定性，即制动时汽车不发生跑偏、侧滑以及失去转向能力的性能。</w:t>
      </w:r>
    </w:p>
    <w:p>
      <w:pPr>
        <w:pStyle w:val="67"/>
      </w:pPr>
      <w:r>
        <w:t>197、（　　）制动台限位杆是限制测力臂的摆动幅度，以免撞伤传感器。</w:t>
      </w:r>
    </w:p>
    <w:p>
      <w:pPr>
        <w:pStyle w:val="67"/>
      </w:pPr>
      <w:r>
        <w:t>198、（　　）检验汽车风窗刮水器时，应预先将风窗玻璃喷湿，否则不仅会刮伤玻璃还会损坏刮片或烧坏电机。</w:t>
      </w:r>
    </w:p>
    <w:p>
      <w:pPr>
        <w:pStyle w:val="67"/>
      </w:pPr>
      <w:r>
        <w:t>199、（　　）汽车喇叭的检测标准：在距车前2米、离地高1.2米处测量时，喇叭声级的值应为90—115dB。</w:t>
      </w:r>
    </w:p>
    <w:p>
      <w:pPr>
        <w:pStyle w:val="67"/>
      </w:pPr>
      <w:r>
        <w:t>200、（　　）前照灯检验仪由接受前照灯光的受光器,与汽车前照灯对正的找准装置、前照灯发光强度/指示装置和光轴偏斜量指示装置组成。</w:t>
      </w:r>
    </w:p>
    <w:sectPr>
      <w:footerReference r:id="rId4" w:type="default"/>
      <w:pgSz w:w="11907" w:h="16839"/>
      <w:pgMar w:top="1134" w:right="1134" w:bottom="1134" w:left="2552"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auto"/>
    <w:pitch w:val="default"/>
    <w:sig w:usb0="E00002FF" w:usb1="4000ACFF" w:usb2="00000001" w:usb3="00000000" w:csb0="2000019F" w:csb1="00000000"/>
  </w:font>
  <w:font w:name="Consolas">
    <w:panose1 w:val="020B0609020204030204"/>
    <w:charset w:val="00"/>
    <w:family w:val="auto"/>
    <w:pitch w:val="default"/>
    <w:sig w:usb0="E10002FF" w:usb1="4000FCFF" w:usb2="00000009" w:usb3="00000000" w:csb0="600001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16"/>
      <w:widowControl w:val="0"/>
      <w:tabs>
        <w:tab w:val="right" w:pos="8221"/>
        <w:tab w:val="clear" w:pos="4153"/>
        <w:tab w:val="clear" w:pos="8306"/>
      </w:tabs>
      <w:rPr>
        <w:kern w:val="2"/>
        <w:lang w:eastAsia="zh-CN"/>
      </w:rPr>
    </w:pPr>
    <w:r>
      <w:rPr>
        <w:rFonts w:ascii="Times New Roman" w:hAnsi="Times New Roman" w:eastAsia="宋体" w:cs="Times New Roman"/>
        <w:kern w:val="2"/>
        <w:sz w:val="18"/>
        <w:szCs w:val="18"/>
        <w:lang w:val="en-US" w:eastAsia="zh-CN" w:bidi="ar-SA"/>
      </w:rPr>
      <w:pict>
        <v:line id="Line 3" o:spid="_x0000_s1025" style="position:absolute;left:0;margin-left:-1.45pt;margin-top:-1.5pt;height:0.05pt;width:413.95pt;rotation:0f;z-index:251658240;"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w:pict>
    </w:r>
    <w:r>
      <w:rPr>
        <w:rFonts w:hint="eastAsia"/>
        <w:kern w:val="2"/>
        <w:lang w:eastAsia="zh-CN"/>
      </w:rPr>
      <w:t>试卷编码： 17GL08000000-60402050050001</w:t>
    </w:r>
    <w:r>
      <w:rPr>
        <w:rFonts w:hint="eastAsia"/>
        <w:kern w:val="2"/>
        <w:lang w:eastAsia="zh-CN"/>
      </w:rPr>
      <w:tab/>
    </w:r>
    <w:r>
      <w:rPr>
        <w:rFonts w:hint="eastAsia"/>
        <w:kern w:val="2"/>
        <w:lang w:eastAsia="zh-CN"/>
      </w:rPr>
      <w:t>第</w:t>
    </w:r>
    <w:r>
      <w:rPr>
        <w:kern w:val="2"/>
        <w:lang w:eastAsia="zh-CN"/>
      </w:rPr>
      <w:fldChar w:fldCharType="begin"/>
    </w:r>
    <w:r>
      <w:rPr>
        <w:kern w:val="2"/>
        <w:lang w:eastAsia="zh-CN"/>
      </w:rPr>
      <w:instrText xml:space="preserve"> PAGE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　共</w:t>
    </w:r>
    <w:r>
      <w:rPr>
        <w:kern w:val="2"/>
        <w:lang w:eastAsia="zh-CN"/>
      </w:rPr>
      <w:fldChar w:fldCharType="begin"/>
    </w:r>
    <w:r>
      <w:rPr>
        <w:kern w:val="2"/>
        <w:lang w:eastAsia="zh-CN"/>
      </w:rPr>
      <w:instrText xml:space="preserve"> NUMPAGES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720"/>
  <w:drawingGridHorizontalSpacing w:val="105"/>
  <w:drawingGridVerticalSpacing w:val="156"/>
  <w:displayHorizontalDrawingGridEvery w:val="0"/>
  <w:displayVerticalDrawingGridEvery w:val="0"/>
  <w:characterSpacingControl w:val="doNotCompress"/>
  <w:compat>
    <w:spaceForUL/>
    <w:doNotLeaveBackslashAlone/>
    <w:ulTrailSpac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
  <w:rsids>
    <w:rsidRoot w:val="00172A27"/>
    <w:rsid w:val="58B43AF6"/>
  </w:rsids>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uiPriority="9" w:semiHidden="0" w:name="heading 6"/>
    <w:lsdException w:uiPriority="9" w:semiHidden="0" w:name="heading 7"/>
    <w:lsdException w:uiPriority="9" w:semiHidden="0" w:name="heading 8"/>
    <w:lsdException w:uiPriority="9"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qFormat="1" w:uiPriority="9" w:semiHidden="0" w:name="footnote text"/>
    <w:lsdException w:uiPriority="0" w:name="annotation text"/>
    <w:lsdException w:unhideWhenUsed="0" w:uiPriority="0" w:semiHidden="0" w:name="header"/>
    <w:lsdException w:unhideWhenUsed="0" w:uiPriority="99" w:semiHidden="0" w:name="footer"/>
    <w:lsdException w:uiPriority="0" w:name="index heading"/>
    <w:lsdException w:unhideWhenUsed="0" w:uiPriority="0" w:semiHidden="0" w:name="caption"/>
    <w:lsdException w:uiPriority="0" w:name="table of figures"/>
    <w:lsdException w:uiPriority="0" w:name="envelope address"/>
    <w:lsdException w:uiPriority="0" w:name="envelope return"/>
    <w:lsdException w:unhideWhenUsed="0" w:uiPriority="0" w:semiHidden="0" w:name="footnote reference"/>
    <w:lsdException w:uiPriority="0" w:name="annotation reference"/>
    <w:lsdException w:uiPriority="0" w:name="line number"/>
    <w:lsdException w:unhideWhenUsed="0" w:uiPriority="0" w:semiHidden="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uiPriority="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qFormat="1" w:unhideWhenUsed="0" w:uiPriority="0" w:semiHidden="0" w:name="Body Text"/>
    <w:lsdException w:uiPriority="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qFormat="1" w:unhideWhenUsed="0" w:uiPriority="0" w:semiHidden="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qFormat="1" w:uiPriority="9" w:semiHidden="0" w:name="Block Text"/>
    <w:lsdException w:unhideWhenUsed="0" w:uiPriority="0" w:semiHidden="0" w:name="Hyperlink"/>
    <w:lsdException w:uiPriority="0" w:name="FollowedHyperlink"/>
    <w:lsdException w:unhideWhenUsed="0" w:uiPriority="0" w:semiHidden="0" w:name="Strong"/>
    <w:lsdException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0" w:semiHidden="0" w:name="Light Shading"/>
    <w:lsdException w:unhideWhenUsed="0" w:uiPriority="0" w:semiHidden="0" w:name="Light List"/>
    <w:lsdException w:unhideWhenUsed="0" w:uiPriority="0" w:semiHidden="0" w:name="Light Grid"/>
    <w:lsdException w:unhideWhenUsed="0" w:uiPriority="0" w:semiHidden="0" w:name="Medium Shading 1"/>
    <w:lsdException w:unhideWhenUsed="0" w:uiPriority="0" w:semiHidden="0" w:name="Medium Shading 2"/>
    <w:lsdException w:unhideWhenUsed="0" w:uiPriority="0" w:semiHidden="0" w:name="Medium List 1"/>
    <w:lsdException w:unhideWhenUsed="0" w:uiPriority="0" w:semiHidden="0" w:name="Medium List 2"/>
    <w:lsdException w:unhideWhenUsed="0" w:uiPriority="0" w:semiHidden="0" w:name="Medium Grid 1"/>
    <w:lsdException w:unhideWhenUsed="0" w:uiPriority="0" w:semiHidden="0" w:name="Medium Grid 2"/>
    <w:lsdException w:unhideWhenUsed="0" w:uiPriority="0" w:semiHidden="0" w:name="Medium Grid 3"/>
    <w:lsdException w:unhideWhenUsed="0" w:uiPriority="0" w:semiHidden="0" w:name="Dark List"/>
    <w:lsdException w:unhideWhenUsed="0" w:uiPriority="0" w:semiHidden="0" w:name="Colorful Shading"/>
    <w:lsdException w:unhideWhenUsed="0" w:uiPriority="0" w:semiHidden="0" w:name="Colorful List"/>
    <w:lsdException w:unhideWhenUsed="0" w:uiPriority="0" w:semiHidden="0" w:name="Colorful Grid"/>
    <w:lsdException w:unhideWhenUsed="0" w:uiPriority="0" w:semiHidden="0" w:name="Light Shading Accent 1"/>
    <w:lsdException w:unhideWhenUsed="0" w:uiPriority="0" w:semiHidden="0" w:name="Light List Accent 1"/>
    <w:lsdException w:unhideWhenUsed="0" w:uiPriority="0" w:semiHidden="0" w:name="Light Grid Accent 1"/>
    <w:lsdException w:unhideWhenUsed="0" w:uiPriority="0" w:semiHidden="0" w:name="Medium Shading 1 Accent 1"/>
    <w:lsdException w:unhideWhenUsed="0" w:uiPriority="0" w:semiHidden="0" w:name="Medium Shading 2 Accent 1"/>
    <w:lsdException w:unhideWhenUsed="0" w:uiPriority="0" w:semiHidden="0" w:name="Medium List 1 Accent 1"/>
    <w:lsdException w:unhideWhenUsed="0" w:uiPriority="0" w:semiHidden="0" w:name="Medium List 2 Accent 1"/>
    <w:lsdException w:unhideWhenUsed="0" w:uiPriority="0" w:semiHidden="0" w:name="Medium Grid 1 Accent 1"/>
    <w:lsdException w:unhideWhenUsed="0" w:uiPriority="0" w:semiHidden="0" w:name="Medium Grid 2 Accent 1"/>
    <w:lsdException w:unhideWhenUsed="0" w:uiPriority="0" w:semiHidden="0" w:name="Medium Grid 3 Accent 1"/>
    <w:lsdException w:unhideWhenUsed="0" w:uiPriority="0" w:semiHidden="0" w:name="Dark List Accent 1"/>
    <w:lsdException w:unhideWhenUsed="0" w:uiPriority="0" w:semiHidden="0" w:name="Colorful Shading Accent 1"/>
    <w:lsdException w:unhideWhenUsed="0" w:uiPriority="0" w:semiHidden="0" w:name="Colorful List Accent 1"/>
    <w:lsdException w:unhideWhenUsed="0" w:uiPriority="0" w:semiHidden="0" w:name="Colorful Grid Accent 1"/>
    <w:lsdException w:unhideWhenUsed="0" w:uiPriority="0" w:semiHidden="0" w:name="Light Shading Accent 2"/>
    <w:lsdException w:unhideWhenUsed="0" w:uiPriority="0" w:semiHidden="0" w:name="Light List Accent 2"/>
    <w:lsdException w:unhideWhenUsed="0" w:uiPriority="0" w:semiHidden="0" w:name="Light Grid Accent 2"/>
    <w:lsdException w:unhideWhenUsed="0" w:uiPriority="0" w:semiHidden="0" w:name="Medium Shading 1 Accent 2"/>
    <w:lsdException w:unhideWhenUsed="0" w:uiPriority="0" w:semiHidden="0" w:name="Medium Shading 2 Accent 2"/>
    <w:lsdException w:unhideWhenUsed="0" w:uiPriority="0" w:semiHidden="0" w:name="Medium List 1 Accent 2"/>
    <w:lsdException w:unhideWhenUsed="0" w:uiPriority="0" w:semiHidden="0" w:name="Medium List 2 Accent 2"/>
    <w:lsdException w:unhideWhenUsed="0" w:uiPriority="0" w:semiHidden="0" w:name="Medium Grid 1 Accent 2"/>
    <w:lsdException w:unhideWhenUsed="0" w:uiPriority="0" w:semiHidden="0" w:name="Medium Grid 2 Accent 2"/>
    <w:lsdException w:unhideWhenUsed="0" w:uiPriority="0" w:semiHidden="0" w:name="Medium Grid 3 Accent 2"/>
    <w:lsdException w:unhideWhenUsed="0" w:uiPriority="0" w:semiHidden="0" w:name="Dark List Accent 2"/>
    <w:lsdException w:unhideWhenUsed="0" w:uiPriority="0" w:semiHidden="0" w:name="Colorful Shading Accent 2"/>
    <w:lsdException w:unhideWhenUsed="0" w:uiPriority="0" w:semiHidden="0" w:name="Colorful List Accent 2"/>
    <w:lsdException w:unhideWhenUsed="0" w:uiPriority="0" w:semiHidden="0" w:name="Colorful Grid Accent 2"/>
    <w:lsdException w:unhideWhenUsed="0" w:uiPriority="0" w:semiHidden="0" w:name="Light Shading Accent 3"/>
    <w:lsdException w:unhideWhenUsed="0" w:uiPriority="0" w:semiHidden="0" w:name="Light List Accent 3"/>
    <w:lsdException w:unhideWhenUsed="0" w:uiPriority="0" w:semiHidden="0" w:name="Light Grid Accent 3"/>
    <w:lsdException w:unhideWhenUsed="0" w:uiPriority="0" w:semiHidden="0" w:name="Medium Shading 1 Accent 3"/>
    <w:lsdException w:unhideWhenUsed="0" w:uiPriority="0" w:semiHidden="0" w:name="Medium Shading 2 Accent 3"/>
    <w:lsdException w:unhideWhenUsed="0" w:uiPriority="0" w:semiHidden="0" w:name="Medium List 1 Accent 3"/>
    <w:lsdException w:unhideWhenUsed="0" w:uiPriority="0" w:semiHidden="0" w:name="Medium List 2 Accent 3"/>
    <w:lsdException w:unhideWhenUsed="0" w:uiPriority="0" w:semiHidden="0" w:name="Medium Grid 1 Accent 3"/>
    <w:lsdException w:unhideWhenUsed="0" w:uiPriority="0" w:semiHidden="0" w:name="Medium Grid 2 Accent 3"/>
    <w:lsdException w:unhideWhenUsed="0" w:uiPriority="0" w:semiHidden="0" w:name="Medium Grid 3 Accent 3"/>
    <w:lsdException w:unhideWhenUsed="0" w:uiPriority="0" w:semiHidden="0" w:name="Dark List Accent 3"/>
    <w:lsdException w:unhideWhenUsed="0" w:uiPriority="0" w:semiHidden="0" w:name="Colorful Shading Accent 3"/>
    <w:lsdException w:unhideWhenUsed="0" w:uiPriority="0" w:semiHidden="0" w:name="Colorful List Accent 3"/>
    <w:lsdException w:unhideWhenUsed="0" w:uiPriority="0" w:semiHidden="0" w:name="Colorful Grid Accent 3"/>
    <w:lsdException w:unhideWhenUsed="0" w:uiPriority="0" w:semiHidden="0" w:name="Light Shading Accent 4"/>
    <w:lsdException w:unhideWhenUsed="0" w:uiPriority="0" w:semiHidden="0" w:name="Light List Accent 4"/>
    <w:lsdException w:unhideWhenUsed="0" w:uiPriority="0" w:semiHidden="0" w:name="Light Grid Accent 4"/>
    <w:lsdException w:unhideWhenUsed="0" w:uiPriority="0" w:semiHidden="0" w:name="Medium Shading 1 Accent 4"/>
    <w:lsdException w:unhideWhenUsed="0" w:uiPriority="0" w:semiHidden="0" w:name="Medium Shading 2 Accent 4"/>
    <w:lsdException w:unhideWhenUsed="0" w:uiPriority="0" w:semiHidden="0" w:name="Medium List 1 Accent 4"/>
    <w:lsdException w:unhideWhenUsed="0" w:uiPriority="0" w:semiHidden="0" w:name="Medium List 2 Accent 4"/>
    <w:lsdException w:unhideWhenUsed="0" w:uiPriority="0" w:semiHidden="0" w:name="Medium Grid 1 Accent 4"/>
    <w:lsdException w:unhideWhenUsed="0" w:uiPriority="0" w:semiHidden="0" w:name="Medium Grid 2 Accent 4"/>
    <w:lsdException w:unhideWhenUsed="0" w:uiPriority="0" w:semiHidden="0" w:name="Medium Grid 3 Accent 4"/>
    <w:lsdException w:unhideWhenUsed="0" w:uiPriority="0" w:semiHidden="0" w:name="Dark List Accent 4"/>
    <w:lsdException w:unhideWhenUsed="0" w:uiPriority="0" w:semiHidden="0" w:name="Colorful Shading Accent 4"/>
    <w:lsdException w:unhideWhenUsed="0" w:uiPriority="0" w:semiHidden="0" w:name="Colorful List Accent 4"/>
    <w:lsdException w:unhideWhenUsed="0" w:uiPriority="0" w:semiHidden="0" w:name="Colorful Grid Accent 4"/>
    <w:lsdException w:unhideWhenUsed="0" w:uiPriority="0" w:semiHidden="0" w:name="Light Shading Accent 5"/>
    <w:lsdException w:unhideWhenUsed="0" w:uiPriority="0" w:semiHidden="0" w:name="Light List Accent 5"/>
    <w:lsdException w:unhideWhenUsed="0" w:uiPriority="0" w:semiHidden="0" w:name="Light Grid Accent 5"/>
    <w:lsdException w:unhideWhenUsed="0" w:uiPriority="0" w:semiHidden="0" w:name="Medium Shading 1 Accent 5"/>
    <w:lsdException w:unhideWhenUsed="0" w:uiPriority="0" w:semiHidden="0" w:name="Medium Shading 2 Accent 5"/>
    <w:lsdException w:unhideWhenUsed="0" w:uiPriority="0" w:semiHidden="0" w:name="Medium List 1 Accent 5"/>
    <w:lsdException w:unhideWhenUsed="0" w:uiPriority="0" w:semiHidden="0" w:name="Medium List 2 Accent 5"/>
    <w:lsdException w:unhideWhenUsed="0" w:uiPriority="0" w:semiHidden="0" w:name="Medium Grid 1 Accent 5"/>
    <w:lsdException w:unhideWhenUsed="0" w:uiPriority="0" w:semiHidden="0" w:name="Medium Grid 2 Accent 5"/>
    <w:lsdException w:unhideWhenUsed="0" w:uiPriority="0" w:semiHidden="0" w:name="Medium Grid 3 Accent 5"/>
    <w:lsdException w:unhideWhenUsed="0" w:uiPriority="0" w:semiHidden="0" w:name="Dark List Accent 5"/>
    <w:lsdException w:unhideWhenUsed="0" w:uiPriority="0" w:semiHidden="0" w:name="Colorful Shading Accent 5"/>
    <w:lsdException w:unhideWhenUsed="0" w:uiPriority="0" w:semiHidden="0" w:name="Colorful List Accent 5"/>
    <w:lsdException w:unhideWhenUsed="0" w:uiPriority="0" w:semiHidden="0" w:name="Colorful Grid Accent 5"/>
    <w:lsdException w:unhideWhenUsed="0" w:uiPriority="0" w:semiHidden="0" w:name="Light Shading Accent 6"/>
    <w:lsdException w:unhideWhenUsed="0" w:uiPriority="0" w:semiHidden="0" w:name="Light List Accent 6"/>
    <w:lsdException w:unhideWhenUsed="0" w:uiPriority="0" w:semiHidden="0" w:name="Light Grid Accent 6"/>
    <w:lsdException w:unhideWhenUsed="0" w:uiPriority="0" w:semiHidden="0" w:name="Medium Shading 1 Accent 6"/>
    <w:lsdException w:unhideWhenUsed="0" w:uiPriority="0" w:semiHidden="0" w:name="Medium Shading 2 Accent 6"/>
    <w:lsdException w:unhideWhenUsed="0" w:uiPriority="0" w:semiHidden="0" w:name="Medium List 1 Accent 6"/>
    <w:lsdException w:unhideWhenUsed="0" w:uiPriority="0" w:semiHidden="0" w:name="Medium List 2 Accent 6"/>
    <w:lsdException w:unhideWhenUsed="0" w:uiPriority="0" w:semiHidden="0" w:name="Medium Grid 1 Accent 6"/>
    <w:lsdException w:unhideWhenUsed="0" w:uiPriority="0" w:semiHidden="0" w:name="Medium Grid 2 Accent 6"/>
    <w:lsdException w:unhideWhenUsed="0" w:uiPriority="0" w:semiHidden="0" w:name="Medium Grid 3 Accent 6"/>
    <w:lsdException w:unhideWhenUsed="0" w:uiPriority="0" w:semiHidden="0" w:name="Dark List Accent 6"/>
    <w:lsdException w:unhideWhenUsed="0" w:uiPriority="0" w:semiHidden="0" w:name="Colorful Shading Accent 6"/>
    <w:lsdException w:unhideWhenUsed="0" w:uiPriority="0" w:semiHidden="0" w:name="Colorful List Accent 6"/>
    <w:lsdException w:unhideWhenUsed="0" w:uiPriority="0" w:semiHidden="0" w:name="Colorful Grid Accent 6"/>
  </w:latentStyles>
  <w:style w:type="paragraph" w:default="1" w:styleId="1">
    <w:name w:val="Normal"/>
    <w:qFormat/>
    <w:uiPriority w:val="0"/>
    <w:rPr>
      <w:rFonts w:ascii="宋体" w:hAnsi="宋体" w:eastAsia="宋体" w:cs="Times New Roman"/>
      <w:sz w:val="21"/>
      <w:szCs w:val="24"/>
      <w:lang w:val="en-US" w:eastAsia="en-US" w:bidi="ar-SA"/>
    </w:rPr>
  </w:style>
  <w:style w:type="paragraph" w:styleId="2">
    <w:name w:val="heading 1"/>
    <w:basedOn w:val="1"/>
    <w:next w:val="3"/>
    <w:qFormat/>
    <w:uiPriority w:val="9"/>
    <w:pPr>
      <w:keepNext/>
      <w:keepLines/>
      <w:spacing w:before="480"/>
      <w:jc w:val="center"/>
      <w:outlineLvl w:val="0"/>
    </w:pPr>
    <w:rPr>
      <w:b/>
      <w:bCs/>
      <w:sz w:val="44"/>
      <w:szCs w:val="32"/>
    </w:rPr>
  </w:style>
  <w:style w:type="paragraph" w:styleId="4">
    <w:name w:val="heading 2"/>
    <w:basedOn w:val="1"/>
    <w:next w:val="3"/>
    <w:unhideWhenUsed/>
    <w:qFormat/>
    <w:uiPriority w:val="9"/>
    <w:pPr>
      <w:keepNext/>
      <w:keepLines/>
      <w:spacing w:before="200"/>
      <w:jc w:val="center"/>
      <w:outlineLvl w:val="1"/>
    </w:pPr>
    <w:rPr>
      <w:rFonts w:eastAsia="黑体"/>
      <w:b/>
      <w:bCs/>
      <w:sz w:val="36"/>
      <w:szCs w:val="32"/>
    </w:rPr>
  </w:style>
  <w:style w:type="paragraph" w:styleId="5">
    <w:name w:val="heading 3"/>
    <w:basedOn w:val="1"/>
    <w:next w:val="3"/>
    <w:unhideWhenUsed/>
    <w:qFormat/>
    <w:uiPriority w:val="9"/>
    <w:pPr>
      <w:keepNext/>
      <w:keepLines/>
      <w:spacing w:before="200"/>
      <w:jc w:val="center"/>
      <w:outlineLvl w:val="2"/>
    </w:pPr>
    <w:rPr>
      <w:rFonts w:eastAsia="黑体"/>
      <w:bCs/>
      <w:sz w:val="30"/>
      <w:szCs w:val="28"/>
    </w:rPr>
  </w:style>
  <w:style w:type="paragraph" w:styleId="6">
    <w:name w:val="heading 4"/>
    <w:basedOn w:val="1"/>
    <w:next w:val="3"/>
    <w:unhideWhenUsed/>
    <w:qFormat/>
    <w:uiPriority w:val="9"/>
    <w:pPr>
      <w:keepNext/>
      <w:keepLines/>
      <w:spacing w:before="200"/>
      <w:jc w:val="center"/>
      <w:outlineLvl w:val="3"/>
    </w:pPr>
    <w:rPr>
      <w:rFonts w:eastAsia="黑体"/>
      <w:b/>
      <w:bCs/>
      <w:sz w:val="28"/>
    </w:rPr>
  </w:style>
  <w:style w:type="paragraph" w:styleId="7">
    <w:name w:val="heading 5"/>
    <w:basedOn w:val="1"/>
    <w:next w:val="3"/>
    <w:unhideWhenUsed/>
    <w:qFormat/>
    <w:uiPriority w:val="9"/>
    <w:pPr>
      <w:keepNext/>
      <w:keepLines/>
      <w:outlineLvl w:val="4"/>
    </w:pPr>
    <w:rPr>
      <w:b/>
      <w:iCs/>
    </w:rPr>
  </w:style>
  <w:style w:type="paragraph" w:styleId="8">
    <w:name w:val="heading 6"/>
    <w:basedOn w:val="1"/>
    <w:next w:val="3"/>
    <w:unhideWhenUsed/>
    <w:uiPriority w:val="9"/>
    <w:pPr>
      <w:jc w:val="center"/>
      <w:outlineLvl w:val="5"/>
    </w:pPr>
  </w:style>
  <w:style w:type="paragraph" w:styleId="9">
    <w:name w:val="heading 7"/>
    <w:basedOn w:val="1"/>
    <w:next w:val="3"/>
    <w:unhideWhenUsed/>
    <w:uiPriority w:val="9"/>
    <w:pPr>
      <w:keepNext/>
      <w:keepLines/>
      <w:spacing w:before="200"/>
      <w:outlineLvl w:val="6"/>
    </w:pPr>
    <w:rPr>
      <w:rFonts w:ascii="Calibri" w:hAnsi="Calibri"/>
      <w:color w:val="4F81BD"/>
      <w:sz w:val="24"/>
    </w:rPr>
  </w:style>
  <w:style w:type="paragraph" w:styleId="10">
    <w:name w:val="heading 8"/>
    <w:basedOn w:val="1"/>
    <w:next w:val="3"/>
    <w:unhideWhenUsed/>
    <w:uiPriority w:val="9"/>
    <w:pPr>
      <w:keepNext/>
      <w:keepLines/>
      <w:spacing w:before="200"/>
      <w:outlineLvl w:val="7"/>
    </w:pPr>
    <w:rPr>
      <w:rFonts w:ascii="Calibri" w:hAnsi="Calibri"/>
      <w:color w:val="4F81BD"/>
      <w:sz w:val="24"/>
    </w:rPr>
  </w:style>
  <w:style w:type="paragraph" w:styleId="11">
    <w:name w:val="heading 9"/>
    <w:basedOn w:val="1"/>
    <w:next w:val="3"/>
    <w:unhideWhenUsed/>
    <w:uiPriority w:val="9"/>
    <w:pPr>
      <w:keepNext/>
      <w:keepLines/>
      <w:spacing w:before="200"/>
      <w:outlineLvl w:val="8"/>
    </w:pPr>
    <w:rPr>
      <w:rFonts w:ascii="Calibri" w:hAnsi="Calibri"/>
      <w:color w:val="4F81BD"/>
      <w:sz w:val="24"/>
    </w:rPr>
  </w:style>
  <w:style w:type="character" w:default="1" w:styleId="21">
    <w:name w:val="Default Paragraph Font"/>
    <w:unhideWhenUsed/>
    <w:uiPriority w:val="1"/>
  </w:style>
  <w:style w:type="table" w:default="1" w:styleId="25">
    <w:name w:val="Normal Table"/>
    <w:unhideWhenUsed/>
    <w:uiPriority w:val="99"/>
    <w:tblPr>
      <w:tblStyle w:val="25"/>
      <w:tblLayout w:type="fixed"/>
      <w:tblCellMar>
        <w:top w:w="0" w:type="dxa"/>
        <w:left w:w="108" w:type="dxa"/>
        <w:bottom w:w="0" w:type="dxa"/>
        <w:right w:w="108" w:type="dxa"/>
      </w:tblCellMar>
    </w:tblPr>
    <w:tcPr>
      <w:textDirection w:val="lrTb"/>
    </w:tcPr>
  </w:style>
  <w:style w:type="paragraph" w:styleId="3">
    <w:name w:val="Body Text"/>
    <w:basedOn w:val="1"/>
    <w:link w:val="123"/>
    <w:qFormat/>
    <w:uiPriority w:val="0"/>
    <w:rPr>
      <w:rFonts w:ascii="Times New Roman" w:hAnsi="Times New Roman"/>
      <w:szCs w:val="20"/>
    </w:rPr>
  </w:style>
  <w:style w:type="paragraph" w:styleId="12">
    <w:name w:val="caption"/>
    <w:basedOn w:val="1"/>
    <w:link w:val="124"/>
    <w:uiPriority w:val="0"/>
    <w:pPr>
      <w:spacing w:after="120"/>
    </w:pPr>
    <w:rPr>
      <w:i/>
    </w:rPr>
  </w:style>
  <w:style w:type="paragraph" w:styleId="13">
    <w:name w:val="Block Text"/>
    <w:basedOn w:val="3"/>
    <w:next w:val="3"/>
    <w:unhideWhenUsed/>
    <w:qFormat/>
    <w:uiPriority w:val="9"/>
    <w:pPr>
      <w:spacing w:before="100" w:after="100"/>
    </w:pPr>
    <w:rPr>
      <w:rFonts w:ascii="Calibri" w:hAnsi="Calibri"/>
      <w:bCs/>
      <w:sz w:val="20"/>
    </w:rPr>
  </w:style>
  <w:style w:type="paragraph" w:styleId="14">
    <w:name w:val="Date"/>
    <w:next w:val="3"/>
    <w:qFormat/>
    <w:uiPriority w:val="0"/>
    <w:pPr>
      <w:keepNext/>
      <w:keepLines/>
      <w:jc w:val="center"/>
    </w:pPr>
    <w:rPr>
      <w:rFonts w:ascii="Times New Roman" w:hAnsi="Times New Roman" w:eastAsia="宋体" w:cs="Times New Roman"/>
      <w:sz w:val="21"/>
      <w:szCs w:val="24"/>
      <w:lang w:val="en-US" w:eastAsia="en-US" w:bidi="ar-SA"/>
    </w:rPr>
  </w:style>
  <w:style w:type="paragraph" w:styleId="15">
    <w:name w:val="Balloon Text"/>
    <w:basedOn w:val="1"/>
    <w:link w:val="128"/>
    <w:uiPriority w:val="0"/>
    <w:rPr>
      <w:rFonts w:ascii="Times New Roman" w:hAnsi="Times New Roman"/>
      <w:sz w:val="18"/>
      <w:szCs w:val="18"/>
    </w:rPr>
  </w:style>
  <w:style w:type="paragraph" w:styleId="16">
    <w:name w:val="footer"/>
    <w:basedOn w:val="1"/>
    <w:link w:val="127"/>
    <w:uiPriority w:val="99"/>
    <w:pPr>
      <w:tabs>
        <w:tab w:val="center" w:pos="4153"/>
        <w:tab w:val="right" w:pos="8306"/>
      </w:tabs>
      <w:snapToGrid w:val="0"/>
    </w:pPr>
    <w:rPr>
      <w:rFonts w:ascii="Times New Roman" w:hAnsi="Times New Roman"/>
      <w:sz w:val="18"/>
      <w:szCs w:val="18"/>
    </w:rPr>
  </w:style>
  <w:style w:type="paragraph" w:styleId="17">
    <w:name w:val="header"/>
    <w:basedOn w:val="1"/>
    <w:link w:val="126"/>
    <w:uiPriority w:val="0"/>
    <w:pPr>
      <w:pBdr>
        <w:bottom w:val="single" w:color="auto" w:sz="6" w:space="1"/>
      </w:pBdr>
      <w:tabs>
        <w:tab w:val="center" w:pos="4153"/>
        <w:tab w:val="right" w:pos="8306"/>
      </w:tabs>
      <w:snapToGrid w:val="0"/>
      <w:jc w:val="center"/>
    </w:pPr>
    <w:rPr>
      <w:rFonts w:ascii="Times New Roman" w:hAnsi="Times New Roman"/>
      <w:sz w:val="18"/>
      <w:szCs w:val="18"/>
    </w:rPr>
  </w:style>
  <w:style w:type="paragraph" w:styleId="18">
    <w:name w:val="Subtitle"/>
    <w:basedOn w:val="19"/>
    <w:next w:val="3"/>
    <w:qFormat/>
    <w:uiPriority w:val="0"/>
    <w:pPr>
      <w:spacing w:before="240"/>
    </w:pPr>
    <w:rPr>
      <w:sz w:val="30"/>
      <w:szCs w:val="30"/>
    </w:rPr>
  </w:style>
  <w:style w:type="paragraph" w:styleId="19">
    <w:name w:val="Title"/>
    <w:basedOn w:val="1"/>
    <w:next w:val="3"/>
    <w:qFormat/>
    <w:uiPriority w:val="0"/>
    <w:pPr>
      <w:keepNext/>
      <w:keepLines/>
      <w:spacing w:before="480" w:after="240"/>
      <w:jc w:val="center"/>
    </w:pPr>
    <w:rPr>
      <w:rFonts w:ascii="Calibri" w:hAnsi="Calibri"/>
      <w:b/>
      <w:bCs/>
      <w:color w:val="345A8A"/>
      <w:sz w:val="36"/>
      <w:szCs w:val="36"/>
    </w:rPr>
  </w:style>
  <w:style w:type="paragraph" w:styleId="20">
    <w:name w:val="footnote text"/>
    <w:basedOn w:val="1"/>
    <w:unhideWhenUsed/>
    <w:qFormat/>
    <w:uiPriority w:val="9"/>
  </w:style>
  <w:style w:type="character" w:styleId="22">
    <w:name w:val="page number"/>
    <w:basedOn w:val="21"/>
    <w:uiPriority w:val="0"/>
    <w:rPr/>
  </w:style>
  <w:style w:type="character" w:styleId="23">
    <w:name w:val="Hyperlink"/>
    <w:uiPriority w:val="0"/>
    <w:rPr>
      <w:color w:val="4F81BD"/>
    </w:rPr>
  </w:style>
  <w:style w:type="character" w:styleId="24">
    <w:name w:val="footnote reference"/>
    <w:uiPriority w:val="0"/>
    <w:rPr>
      <w:vertAlign w:val="superscript"/>
    </w:rPr>
  </w:style>
  <w:style w:type="table" w:styleId="26">
    <w:name w:val="Table Grid"/>
    <w:basedOn w:val="25"/>
    <w:uiPriority w:val="0"/>
    <w:p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tcPr>
      <w:textDirection w:val="lrTb"/>
    </w:tcPr>
  </w:style>
  <w:style w:type="table" w:styleId="27">
    <w:name w:val="Table Theme"/>
    <w:basedOn w:val="25"/>
    <w:uiPriority w:val="0"/>
    <w:p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tcPr>
      <w:textDirection w:val="lrTb"/>
    </w:tcPr>
  </w:style>
  <w:style w:type="paragraph" w:customStyle="1" w:styleId="28">
    <w:name w:val="Bibliography"/>
    <w:basedOn w:val="1"/>
    <w:qFormat/>
    <w:uiPriority w:val="0"/>
  </w:style>
  <w:style w:type="paragraph" w:customStyle="1" w:styleId="29">
    <w:name w:val="Table Caption"/>
    <w:basedOn w:val="12"/>
    <w:uiPriority w:val="0"/>
    <w:pPr>
      <w:keepNext/>
    </w:pPr>
  </w:style>
  <w:style w:type="paragraph" w:customStyle="1" w:styleId="30">
    <w:name w:val="TOC Heading"/>
    <w:basedOn w:val="2"/>
    <w:next w:val="3"/>
    <w:unhideWhenUsed/>
    <w:qFormat/>
    <w:uiPriority w:val="39"/>
    <w:pPr>
      <w:spacing w:before="240" w:line="259" w:lineRule="auto"/>
      <w:outlineLvl w:val="9"/>
    </w:pPr>
    <w:rPr>
      <w:b w:val="0"/>
      <w:bCs w:val="0"/>
      <w:color w:val="365F91"/>
    </w:rPr>
  </w:style>
  <w:style w:type="paragraph" w:customStyle="1" w:styleId="31">
    <w:name w:val="黑体小二缩"/>
    <w:basedOn w:val="1"/>
    <w:qFormat/>
    <w:uiPriority w:val="0"/>
    <w:pPr>
      <w:snapToGrid w:val="0"/>
      <w:ind w:left="200" w:leftChars="200" w:right="200" w:rightChars="200"/>
    </w:pPr>
    <w:rPr>
      <w:rFonts w:ascii="黑体" w:hAnsi="黑体" w:eastAsia="黑体"/>
      <w:sz w:val="36"/>
      <w:szCs w:val="21"/>
    </w:rPr>
  </w:style>
  <w:style w:type="paragraph" w:customStyle="1" w:styleId="32">
    <w:name w:val="居中黑体二号"/>
    <w:basedOn w:val="1"/>
    <w:qFormat/>
    <w:uiPriority w:val="0"/>
    <w:pPr>
      <w:jc w:val="center"/>
    </w:pPr>
    <w:rPr>
      <w:rFonts w:ascii="黑体" w:hAnsi="黑体" w:eastAsia="黑体"/>
      <w:sz w:val="44"/>
      <w:szCs w:val="21"/>
    </w:rPr>
  </w:style>
  <w:style w:type="paragraph" w:customStyle="1" w:styleId="33">
    <w:name w:val="居中黑体二号粗"/>
    <w:basedOn w:val="1"/>
    <w:qFormat/>
    <w:uiPriority w:val="0"/>
    <w:pPr>
      <w:jc w:val="center"/>
    </w:pPr>
    <w:rPr>
      <w:rFonts w:ascii="黑体" w:hAnsi="黑体" w:eastAsia="黑体"/>
      <w:b/>
      <w:sz w:val="44"/>
      <w:szCs w:val="21"/>
    </w:rPr>
  </w:style>
  <w:style w:type="paragraph" w:customStyle="1" w:styleId="34">
    <w:name w:val="居中黑体三号"/>
    <w:basedOn w:val="1"/>
    <w:qFormat/>
    <w:uiPriority w:val="0"/>
    <w:pPr>
      <w:jc w:val="center"/>
    </w:pPr>
    <w:rPr>
      <w:rFonts w:ascii="黑体" w:hAnsi="黑体" w:eastAsia="黑体"/>
      <w:sz w:val="32"/>
      <w:szCs w:val="21"/>
    </w:rPr>
  </w:style>
  <w:style w:type="paragraph" w:customStyle="1" w:styleId="35">
    <w:name w:val="居中黑体三号粗"/>
    <w:basedOn w:val="1"/>
    <w:qFormat/>
    <w:uiPriority w:val="0"/>
    <w:pPr>
      <w:jc w:val="center"/>
    </w:pPr>
    <w:rPr>
      <w:rFonts w:ascii="黑体" w:hAnsi="黑体" w:eastAsia="黑体"/>
      <w:b/>
      <w:sz w:val="32"/>
      <w:szCs w:val="21"/>
    </w:rPr>
  </w:style>
  <w:style w:type="paragraph" w:customStyle="1" w:styleId="36">
    <w:name w:val="居中黑体四号"/>
    <w:basedOn w:val="1"/>
    <w:qFormat/>
    <w:uiPriority w:val="0"/>
    <w:pPr>
      <w:jc w:val="center"/>
    </w:pPr>
    <w:rPr>
      <w:rFonts w:ascii="黑体" w:hAnsi="黑体" w:eastAsia="黑体"/>
      <w:sz w:val="28"/>
      <w:szCs w:val="21"/>
    </w:rPr>
  </w:style>
  <w:style w:type="paragraph" w:customStyle="1" w:styleId="37">
    <w:name w:val="居中黑体四号粗"/>
    <w:basedOn w:val="1"/>
    <w:qFormat/>
    <w:uiPriority w:val="0"/>
    <w:pPr>
      <w:jc w:val="center"/>
    </w:pPr>
    <w:rPr>
      <w:rFonts w:ascii="黑体" w:hAnsi="黑体" w:eastAsia="黑体"/>
      <w:b/>
      <w:sz w:val="28"/>
      <w:szCs w:val="21"/>
    </w:rPr>
  </w:style>
  <w:style w:type="paragraph" w:customStyle="1" w:styleId="38">
    <w:name w:val="居中黑体五号"/>
    <w:basedOn w:val="1"/>
    <w:qFormat/>
    <w:uiPriority w:val="0"/>
    <w:pPr>
      <w:jc w:val="center"/>
    </w:pPr>
    <w:rPr>
      <w:rFonts w:ascii="黑体" w:hAnsi="黑体" w:eastAsia="黑体"/>
      <w:szCs w:val="21"/>
    </w:rPr>
  </w:style>
  <w:style w:type="paragraph" w:customStyle="1" w:styleId="39">
    <w:name w:val="居中黑体五号粗"/>
    <w:basedOn w:val="1"/>
    <w:qFormat/>
    <w:uiPriority w:val="0"/>
    <w:pPr>
      <w:jc w:val="center"/>
    </w:pPr>
    <w:rPr>
      <w:rFonts w:ascii="黑体" w:hAnsi="黑体" w:eastAsia="黑体"/>
      <w:b/>
      <w:szCs w:val="21"/>
    </w:rPr>
  </w:style>
  <w:style w:type="paragraph" w:customStyle="1" w:styleId="40">
    <w:name w:val="居中黑体小二"/>
    <w:basedOn w:val="1"/>
    <w:qFormat/>
    <w:uiPriority w:val="0"/>
    <w:pPr>
      <w:jc w:val="center"/>
    </w:pPr>
    <w:rPr>
      <w:rFonts w:ascii="黑体" w:hAnsi="黑体" w:eastAsia="黑体"/>
      <w:sz w:val="36"/>
      <w:szCs w:val="21"/>
    </w:rPr>
  </w:style>
  <w:style w:type="paragraph" w:customStyle="1" w:styleId="41">
    <w:name w:val="居中黑体小二粗"/>
    <w:basedOn w:val="1"/>
    <w:qFormat/>
    <w:uiPriority w:val="0"/>
    <w:pPr>
      <w:jc w:val="center"/>
    </w:pPr>
    <w:rPr>
      <w:rFonts w:ascii="黑体" w:hAnsi="黑体" w:eastAsia="黑体"/>
      <w:b/>
      <w:sz w:val="36"/>
      <w:szCs w:val="21"/>
    </w:rPr>
  </w:style>
  <w:style w:type="paragraph" w:customStyle="1" w:styleId="42">
    <w:name w:val="居中黑体小三"/>
    <w:basedOn w:val="1"/>
    <w:qFormat/>
    <w:uiPriority w:val="0"/>
    <w:pPr>
      <w:jc w:val="center"/>
    </w:pPr>
    <w:rPr>
      <w:rFonts w:ascii="黑体" w:hAnsi="黑体" w:eastAsia="黑体"/>
      <w:sz w:val="30"/>
      <w:szCs w:val="21"/>
    </w:rPr>
  </w:style>
  <w:style w:type="paragraph" w:customStyle="1" w:styleId="43">
    <w:name w:val="居中黑体小三粗"/>
    <w:basedOn w:val="1"/>
    <w:qFormat/>
    <w:uiPriority w:val="0"/>
    <w:pPr>
      <w:jc w:val="center"/>
    </w:pPr>
    <w:rPr>
      <w:rFonts w:ascii="黑体" w:hAnsi="黑体" w:eastAsia="黑体"/>
      <w:b/>
      <w:sz w:val="30"/>
      <w:szCs w:val="21"/>
    </w:rPr>
  </w:style>
  <w:style w:type="paragraph" w:customStyle="1" w:styleId="44">
    <w:name w:val="居中黑体小四"/>
    <w:basedOn w:val="1"/>
    <w:qFormat/>
    <w:uiPriority w:val="0"/>
    <w:pPr>
      <w:jc w:val="center"/>
    </w:pPr>
    <w:rPr>
      <w:rFonts w:ascii="黑体" w:hAnsi="黑体" w:eastAsia="黑体"/>
      <w:sz w:val="24"/>
      <w:szCs w:val="21"/>
    </w:rPr>
  </w:style>
  <w:style w:type="paragraph" w:customStyle="1" w:styleId="45">
    <w:name w:val="居中黑体小四粗"/>
    <w:basedOn w:val="1"/>
    <w:qFormat/>
    <w:uiPriority w:val="0"/>
    <w:pPr>
      <w:jc w:val="center"/>
    </w:pPr>
    <w:rPr>
      <w:rFonts w:ascii="黑体" w:hAnsi="黑体" w:eastAsia="黑体"/>
      <w:b/>
      <w:sz w:val="24"/>
      <w:szCs w:val="21"/>
    </w:rPr>
  </w:style>
  <w:style w:type="paragraph" w:customStyle="1" w:styleId="46">
    <w:name w:val="居中黑体小一"/>
    <w:basedOn w:val="1"/>
    <w:qFormat/>
    <w:uiPriority w:val="0"/>
    <w:pPr>
      <w:jc w:val="center"/>
    </w:pPr>
    <w:rPr>
      <w:rFonts w:ascii="黑体" w:hAnsi="黑体" w:eastAsia="黑体"/>
      <w:sz w:val="48"/>
      <w:szCs w:val="21"/>
    </w:rPr>
  </w:style>
  <w:style w:type="paragraph" w:customStyle="1" w:styleId="47">
    <w:name w:val="居中黑体小一粗"/>
    <w:basedOn w:val="1"/>
    <w:qFormat/>
    <w:uiPriority w:val="0"/>
    <w:pPr>
      <w:jc w:val="center"/>
    </w:pPr>
    <w:rPr>
      <w:rFonts w:ascii="黑体" w:hAnsi="黑体" w:eastAsia="黑体" w:cs="黑体"/>
      <w:b/>
      <w:sz w:val="48"/>
      <w:szCs w:val="28"/>
    </w:rPr>
  </w:style>
  <w:style w:type="paragraph" w:customStyle="1" w:styleId="48">
    <w:name w:val="居中黑体一号"/>
    <w:basedOn w:val="1"/>
    <w:qFormat/>
    <w:uiPriority w:val="0"/>
    <w:pPr>
      <w:jc w:val="center"/>
    </w:pPr>
    <w:rPr>
      <w:rFonts w:ascii="黑体" w:hAnsi="黑体" w:eastAsia="黑体"/>
      <w:sz w:val="52"/>
      <w:szCs w:val="21"/>
    </w:rPr>
  </w:style>
  <w:style w:type="paragraph" w:customStyle="1" w:styleId="49">
    <w:name w:val="居中黑体一号粗"/>
    <w:basedOn w:val="1"/>
    <w:qFormat/>
    <w:uiPriority w:val="0"/>
    <w:pPr>
      <w:jc w:val="center"/>
    </w:pPr>
    <w:rPr>
      <w:rFonts w:ascii="黑体" w:hAnsi="黑体" w:eastAsia="黑体"/>
      <w:b/>
      <w:sz w:val="52"/>
      <w:szCs w:val="21"/>
    </w:rPr>
  </w:style>
  <w:style w:type="paragraph" w:customStyle="1" w:styleId="50">
    <w:name w:val="居中宋体二号"/>
    <w:basedOn w:val="1"/>
    <w:qFormat/>
    <w:uiPriority w:val="0"/>
    <w:pPr>
      <w:jc w:val="center"/>
    </w:pPr>
    <w:rPr>
      <w:sz w:val="44"/>
      <w:szCs w:val="21"/>
    </w:rPr>
  </w:style>
  <w:style w:type="paragraph" w:customStyle="1" w:styleId="51">
    <w:name w:val="左宋体三号"/>
    <w:basedOn w:val="1"/>
    <w:qFormat/>
    <w:uiPriority w:val="0"/>
    <w:rPr>
      <w:sz w:val="32"/>
      <w:szCs w:val="21"/>
    </w:rPr>
  </w:style>
  <w:style w:type="paragraph" w:customStyle="1" w:styleId="52">
    <w:name w:val="左宋体三号T1"/>
    <w:basedOn w:val="1"/>
    <w:qFormat/>
    <w:uiPriority w:val="0"/>
    <w:pPr>
      <w:tabs>
        <w:tab w:val="left" w:pos="420"/>
      </w:tabs>
    </w:pPr>
    <w:rPr>
      <w:sz w:val="32"/>
      <w:szCs w:val="21"/>
      <w:lang w:eastAsia="zh-CN"/>
    </w:rPr>
  </w:style>
  <w:style w:type="paragraph" w:customStyle="1" w:styleId="53">
    <w:name w:val="左宋体三号T2"/>
    <w:basedOn w:val="1"/>
    <w:qFormat/>
    <w:uiPriority w:val="0"/>
    <w:pPr>
      <w:tabs>
        <w:tab w:val="left" w:pos="420"/>
        <w:tab w:val="left" w:pos="4200"/>
      </w:tabs>
    </w:pPr>
    <w:rPr>
      <w:sz w:val="32"/>
      <w:szCs w:val="21"/>
    </w:rPr>
  </w:style>
  <w:style w:type="paragraph" w:customStyle="1" w:styleId="54">
    <w:name w:val="左宋体三号T4"/>
    <w:basedOn w:val="1"/>
    <w:qFormat/>
    <w:uiPriority w:val="0"/>
    <w:pPr>
      <w:tabs>
        <w:tab w:val="left" w:pos="420"/>
        <w:tab w:val="left" w:pos="2310"/>
        <w:tab w:val="left" w:pos="4200"/>
        <w:tab w:val="left" w:pos="6090"/>
      </w:tabs>
    </w:pPr>
    <w:rPr>
      <w:sz w:val="32"/>
      <w:szCs w:val="21"/>
    </w:rPr>
  </w:style>
  <w:style w:type="paragraph" w:customStyle="1" w:styleId="55">
    <w:name w:val="左宋体三号粗"/>
    <w:basedOn w:val="1"/>
    <w:qFormat/>
    <w:uiPriority w:val="0"/>
    <w:rPr>
      <w:b/>
      <w:sz w:val="32"/>
      <w:szCs w:val="21"/>
    </w:rPr>
  </w:style>
  <w:style w:type="paragraph" w:customStyle="1" w:styleId="56">
    <w:name w:val="左宋体三号粗T1"/>
    <w:basedOn w:val="1"/>
    <w:qFormat/>
    <w:uiPriority w:val="0"/>
    <w:pPr>
      <w:tabs>
        <w:tab w:val="left" w:pos="420"/>
      </w:tabs>
    </w:pPr>
    <w:rPr>
      <w:b/>
      <w:sz w:val="32"/>
      <w:szCs w:val="21"/>
    </w:rPr>
  </w:style>
  <w:style w:type="paragraph" w:customStyle="1" w:styleId="57">
    <w:name w:val="左宋体三号粗T2"/>
    <w:basedOn w:val="1"/>
    <w:qFormat/>
    <w:uiPriority w:val="0"/>
    <w:pPr>
      <w:tabs>
        <w:tab w:val="left" w:pos="420"/>
        <w:tab w:val="left" w:pos="4200"/>
      </w:tabs>
    </w:pPr>
    <w:rPr>
      <w:b/>
      <w:sz w:val="32"/>
      <w:szCs w:val="21"/>
    </w:rPr>
  </w:style>
  <w:style w:type="paragraph" w:customStyle="1" w:styleId="58">
    <w:name w:val="左宋体三号粗T4"/>
    <w:basedOn w:val="1"/>
    <w:qFormat/>
    <w:uiPriority w:val="0"/>
    <w:pPr>
      <w:tabs>
        <w:tab w:val="left" w:pos="420"/>
        <w:tab w:val="left" w:pos="2310"/>
        <w:tab w:val="left" w:pos="4200"/>
        <w:tab w:val="left" w:pos="6090"/>
      </w:tabs>
    </w:pPr>
    <w:rPr>
      <w:b/>
      <w:sz w:val="32"/>
      <w:szCs w:val="21"/>
    </w:rPr>
  </w:style>
  <w:style w:type="paragraph" w:customStyle="1" w:styleId="59">
    <w:name w:val="左宋体四号"/>
    <w:basedOn w:val="1"/>
    <w:qFormat/>
    <w:uiPriority w:val="0"/>
    <w:rPr>
      <w:sz w:val="28"/>
      <w:szCs w:val="21"/>
    </w:rPr>
  </w:style>
  <w:style w:type="paragraph" w:customStyle="1" w:styleId="60">
    <w:name w:val="左宋体四号T1"/>
    <w:basedOn w:val="1"/>
    <w:qFormat/>
    <w:uiPriority w:val="0"/>
    <w:pPr>
      <w:tabs>
        <w:tab w:val="left" w:pos="420"/>
      </w:tabs>
    </w:pPr>
    <w:rPr>
      <w:sz w:val="28"/>
      <w:szCs w:val="21"/>
    </w:rPr>
  </w:style>
  <w:style w:type="paragraph" w:customStyle="1" w:styleId="61">
    <w:name w:val="左宋体四号T2"/>
    <w:basedOn w:val="1"/>
    <w:qFormat/>
    <w:uiPriority w:val="0"/>
    <w:pPr>
      <w:tabs>
        <w:tab w:val="left" w:pos="420"/>
        <w:tab w:val="left" w:pos="4200"/>
      </w:tabs>
    </w:pPr>
    <w:rPr>
      <w:sz w:val="28"/>
      <w:szCs w:val="21"/>
    </w:rPr>
  </w:style>
  <w:style w:type="paragraph" w:customStyle="1" w:styleId="62">
    <w:name w:val="左宋体四号T4"/>
    <w:basedOn w:val="1"/>
    <w:qFormat/>
    <w:uiPriority w:val="0"/>
    <w:pPr>
      <w:tabs>
        <w:tab w:val="left" w:pos="420"/>
        <w:tab w:val="left" w:pos="2310"/>
        <w:tab w:val="left" w:pos="4200"/>
        <w:tab w:val="left" w:pos="6090"/>
      </w:tabs>
    </w:pPr>
    <w:rPr>
      <w:sz w:val="28"/>
      <w:szCs w:val="21"/>
    </w:rPr>
  </w:style>
  <w:style w:type="paragraph" w:customStyle="1" w:styleId="63">
    <w:name w:val="左宋体四号粗"/>
    <w:basedOn w:val="1"/>
    <w:qFormat/>
    <w:uiPriority w:val="0"/>
    <w:rPr>
      <w:b/>
      <w:sz w:val="28"/>
      <w:szCs w:val="21"/>
    </w:rPr>
  </w:style>
  <w:style w:type="paragraph" w:customStyle="1" w:styleId="64">
    <w:name w:val="左宋体四号粗T1"/>
    <w:basedOn w:val="1"/>
    <w:qFormat/>
    <w:uiPriority w:val="0"/>
    <w:pPr>
      <w:tabs>
        <w:tab w:val="left" w:pos="420"/>
      </w:tabs>
    </w:pPr>
    <w:rPr>
      <w:b/>
      <w:sz w:val="28"/>
      <w:szCs w:val="21"/>
    </w:rPr>
  </w:style>
  <w:style w:type="paragraph" w:customStyle="1" w:styleId="65">
    <w:name w:val="左宋体四号粗T2"/>
    <w:basedOn w:val="1"/>
    <w:qFormat/>
    <w:uiPriority w:val="0"/>
    <w:pPr>
      <w:tabs>
        <w:tab w:val="left" w:pos="420"/>
        <w:tab w:val="left" w:pos="4200"/>
      </w:tabs>
    </w:pPr>
    <w:rPr>
      <w:b/>
      <w:sz w:val="28"/>
      <w:szCs w:val="21"/>
    </w:rPr>
  </w:style>
  <w:style w:type="paragraph" w:customStyle="1" w:styleId="66">
    <w:name w:val="左宋体四号粗T4"/>
    <w:basedOn w:val="1"/>
    <w:qFormat/>
    <w:uiPriority w:val="0"/>
    <w:pPr>
      <w:tabs>
        <w:tab w:val="left" w:pos="420"/>
        <w:tab w:val="left" w:pos="2310"/>
        <w:tab w:val="left" w:pos="4200"/>
        <w:tab w:val="left" w:pos="6090"/>
      </w:tabs>
    </w:pPr>
    <w:rPr>
      <w:b/>
      <w:sz w:val="28"/>
      <w:szCs w:val="21"/>
    </w:rPr>
  </w:style>
  <w:style w:type="paragraph" w:customStyle="1" w:styleId="67">
    <w:name w:val="左宋体五号"/>
    <w:basedOn w:val="1"/>
    <w:qFormat/>
    <w:uiPriority w:val="0"/>
    <w:rPr>
      <w:szCs w:val="21"/>
    </w:rPr>
  </w:style>
  <w:style w:type="paragraph" w:customStyle="1" w:styleId="68">
    <w:name w:val="左宋体五号T1"/>
    <w:basedOn w:val="1"/>
    <w:qFormat/>
    <w:uiPriority w:val="0"/>
    <w:pPr>
      <w:tabs>
        <w:tab w:val="left" w:pos="420"/>
      </w:tabs>
    </w:pPr>
    <w:rPr>
      <w:szCs w:val="21"/>
    </w:rPr>
  </w:style>
  <w:style w:type="paragraph" w:customStyle="1" w:styleId="69">
    <w:name w:val="左宋体五号T2"/>
    <w:basedOn w:val="1"/>
    <w:qFormat/>
    <w:uiPriority w:val="0"/>
    <w:pPr>
      <w:tabs>
        <w:tab w:val="left" w:pos="420"/>
        <w:tab w:val="left" w:pos="4200"/>
      </w:tabs>
    </w:pPr>
    <w:rPr>
      <w:szCs w:val="21"/>
    </w:rPr>
  </w:style>
  <w:style w:type="paragraph" w:customStyle="1" w:styleId="70">
    <w:name w:val="左宋体五号T4"/>
    <w:basedOn w:val="1"/>
    <w:qFormat/>
    <w:uiPriority w:val="0"/>
    <w:pPr>
      <w:tabs>
        <w:tab w:val="left" w:pos="420"/>
        <w:tab w:val="left" w:pos="2310"/>
        <w:tab w:val="left" w:pos="4200"/>
        <w:tab w:val="left" w:pos="6090"/>
      </w:tabs>
    </w:pPr>
    <w:rPr>
      <w:szCs w:val="21"/>
    </w:rPr>
  </w:style>
  <w:style w:type="paragraph" w:customStyle="1" w:styleId="71">
    <w:name w:val="左宋体五号粗"/>
    <w:basedOn w:val="1"/>
    <w:qFormat/>
    <w:uiPriority w:val="0"/>
    <w:rPr>
      <w:b/>
      <w:szCs w:val="21"/>
    </w:rPr>
  </w:style>
  <w:style w:type="paragraph" w:customStyle="1" w:styleId="72">
    <w:name w:val="宋体五号中"/>
    <w:basedOn w:val="1"/>
    <w:qFormat/>
    <w:uiPriority w:val="0"/>
    <w:pPr>
      <w:jc w:val="center"/>
    </w:pPr>
    <w:rPr>
      <w:szCs w:val="21"/>
    </w:rPr>
  </w:style>
  <w:style w:type="paragraph" w:customStyle="1" w:styleId="73">
    <w:name w:val="左宋体小三"/>
    <w:basedOn w:val="1"/>
    <w:qFormat/>
    <w:uiPriority w:val="0"/>
    <w:rPr>
      <w:sz w:val="30"/>
      <w:szCs w:val="21"/>
    </w:rPr>
  </w:style>
  <w:style w:type="paragraph" w:customStyle="1" w:styleId="74">
    <w:name w:val="左宋体小三T1"/>
    <w:basedOn w:val="1"/>
    <w:qFormat/>
    <w:uiPriority w:val="0"/>
    <w:pPr>
      <w:tabs>
        <w:tab w:val="left" w:pos="420"/>
      </w:tabs>
    </w:pPr>
    <w:rPr>
      <w:sz w:val="30"/>
      <w:szCs w:val="21"/>
    </w:rPr>
  </w:style>
  <w:style w:type="paragraph" w:customStyle="1" w:styleId="75">
    <w:name w:val="左宋体小三T2"/>
    <w:basedOn w:val="1"/>
    <w:qFormat/>
    <w:uiPriority w:val="0"/>
    <w:pPr>
      <w:tabs>
        <w:tab w:val="left" w:pos="420"/>
        <w:tab w:val="left" w:pos="4200"/>
      </w:tabs>
    </w:pPr>
    <w:rPr>
      <w:sz w:val="30"/>
      <w:szCs w:val="21"/>
    </w:rPr>
  </w:style>
  <w:style w:type="paragraph" w:customStyle="1" w:styleId="76">
    <w:name w:val="左宋体小三T4"/>
    <w:basedOn w:val="1"/>
    <w:qFormat/>
    <w:uiPriority w:val="0"/>
    <w:pPr>
      <w:tabs>
        <w:tab w:val="left" w:pos="420"/>
        <w:tab w:val="left" w:pos="2310"/>
        <w:tab w:val="left" w:pos="4200"/>
        <w:tab w:val="left" w:pos="6090"/>
      </w:tabs>
    </w:pPr>
    <w:rPr>
      <w:sz w:val="30"/>
      <w:szCs w:val="21"/>
    </w:rPr>
  </w:style>
  <w:style w:type="paragraph" w:customStyle="1" w:styleId="77">
    <w:name w:val="左宋体小三粗"/>
    <w:basedOn w:val="1"/>
    <w:qFormat/>
    <w:uiPriority w:val="0"/>
    <w:rPr>
      <w:b/>
      <w:sz w:val="30"/>
      <w:szCs w:val="21"/>
    </w:rPr>
  </w:style>
  <w:style w:type="paragraph" w:customStyle="1" w:styleId="78">
    <w:name w:val="左宋体小三粗T1"/>
    <w:basedOn w:val="1"/>
    <w:qFormat/>
    <w:uiPriority w:val="0"/>
    <w:pPr>
      <w:tabs>
        <w:tab w:val="left" w:pos="420"/>
      </w:tabs>
    </w:pPr>
    <w:rPr>
      <w:b/>
      <w:sz w:val="30"/>
      <w:szCs w:val="21"/>
    </w:rPr>
  </w:style>
  <w:style w:type="paragraph" w:customStyle="1" w:styleId="79">
    <w:name w:val="左宋体小三粗T2"/>
    <w:basedOn w:val="1"/>
    <w:qFormat/>
    <w:uiPriority w:val="0"/>
    <w:pPr>
      <w:tabs>
        <w:tab w:val="left" w:pos="420"/>
        <w:tab w:val="left" w:pos="4200"/>
      </w:tabs>
    </w:pPr>
    <w:rPr>
      <w:b/>
      <w:sz w:val="30"/>
      <w:szCs w:val="21"/>
    </w:rPr>
  </w:style>
  <w:style w:type="paragraph" w:customStyle="1" w:styleId="80">
    <w:name w:val="左宋体小三粗T4"/>
    <w:basedOn w:val="1"/>
    <w:qFormat/>
    <w:uiPriority w:val="0"/>
    <w:pPr>
      <w:tabs>
        <w:tab w:val="left" w:pos="420"/>
        <w:tab w:val="left" w:pos="2310"/>
        <w:tab w:val="left" w:pos="4200"/>
        <w:tab w:val="left" w:pos="6090"/>
      </w:tabs>
    </w:pPr>
    <w:rPr>
      <w:b/>
      <w:sz w:val="30"/>
      <w:szCs w:val="21"/>
    </w:rPr>
  </w:style>
  <w:style w:type="paragraph" w:customStyle="1" w:styleId="81">
    <w:name w:val="左宋体小四"/>
    <w:basedOn w:val="1"/>
    <w:qFormat/>
    <w:uiPriority w:val="0"/>
    <w:rPr>
      <w:sz w:val="24"/>
      <w:szCs w:val="21"/>
    </w:rPr>
  </w:style>
  <w:style w:type="paragraph" w:customStyle="1" w:styleId="82">
    <w:name w:val="左宋体小四T1"/>
    <w:basedOn w:val="1"/>
    <w:qFormat/>
    <w:uiPriority w:val="0"/>
    <w:pPr>
      <w:tabs>
        <w:tab w:val="left" w:pos="420"/>
      </w:tabs>
    </w:pPr>
    <w:rPr>
      <w:sz w:val="24"/>
      <w:szCs w:val="21"/>
    </w:rPr>
  </w:style>
  <w:style w:type="paragraph" w:customStyle="1" w:styleId="83">
    <w:name w:val="左宋体小四T2"/>
    <w:basedOn w:val="1"/>
    <w:qFormat/>
    <w:uiPriority w:val="0"/>
    <w:pPr>
      <w:tabs>
        <w:tab w:val="left" w:pos="420"/>
        <w:tab w:val="left" w:pos="4200"/>
      </w:tabs>
    </w:pPr>
    <w:rPr>
      <w:sz w:val="24"/>
      <w:szCs w:val="21"/>
    </w:rPr>
  </w:style>
  <w:style w:type="paragraph" w:customStyle="1" w:styleId="84">
    <w:name w:val="左宋体小四T4"/>
    <w:basedOn w:val="1"/>
    <w:qFormat/>
    <w:uiPriority w:val="0"/>
    <w:pPr>
      <w:tabs>
        <w:tab w:val="left" w:pos="420"/>
        <w:tab w:val="left" w:pos="2310"/>
        <w:tab w:val="left" w:pos="4200"/>
        <w:tab w:val="left" w:pos="6090"/>
      </w:tabs>
    </w:pPr>
    <w:rPr>
      <w:sz w:val="24"/>
      <w:szCs w:val="21"/>
    </w:rPr>
  </w:style>
  <w:style w:type="paragraph" w:customStyle="1" w:styleId="85">
    <w:name w:val="左宋体小四粗"/>
    <w:basedOn w:val="1"/>
    <w:qFormat/>
    <w:uiPriority w:val="0"/>
    <w:rPr>
      <w:b/>
      <w:sz w:val="24"/>
      <w:szCs w:val="21"/>
    </w:rPr>
  </w:style>
  <w:style w:type="paragraph" w:customStyle="1" w:styleId="86">
    <w:name w:val="左宋体小四粗T1"/>
    <w:basedOn w:val="1"/>
    <w:qFormat/>
    <w:uiPriority w:val="0"/>
    <w:pPr>
      <w:tabs>
        <w:tab w:val="left" w:pos="420"/>
      </w:tabs>
    </w:pPr>
    <w:rPr>
      <w:b/>
      <w:sz w:val="24"/>
      <w:szCs w:val="21"/>
    </w:rPr>
  </w:style>
  <w:style w:type="paragraph" w:customStyle="1" w:styleId="87">
    <w:name w:val="左宋体小四粗T2"/>
    <w:basedOn w:val="1"/>
    <w:qFormat/>
    <w:uiPriority w:val="0"/>
    <w:pPr>
      <w:tabs>
        <w:tab w:val="left" w:pos="420"/>
        <w:tab w:val="left" w:pos="4200"/>
      </w:tabs>
    </w:pPr>
    <w:rPr>
      <w:b/>
      <w:sz w:val="24"/>
      <w:szCs w:val="21"/>
    </w:rPr>
  </w:style>
  <w:style w:type="paragraph" w:customStyle="1" w:styleId="88">
    <w:name w:val="左宋体小四粗T4"/>
    <w:basedOn w:val="1"/>
    <w:qFormat/>
    <w:uiPriority w:val="0"/>
    <w:pPr>
      <w:tabs>
        <w:tab w:val="left" w:pos="420"/>
        <w:tab w:val="left" w:pos="2310"/>
        <w:tab w:val="left" w:pos="4200"/>
        <w:tab w:val="left" w:pos="6090"/>
      </w:tabs>
    </w:pPr>
    <w:rPr>
      <w:b/>
      <w:sz w:val="24"/>
      <w:szCs w:val="21"/>
    </w:rPr>
  </w:style>
  <w:style w:type="paragraph" w:customStyle="1" w:styleId="89">
    <w:name w:val="居中宋体二号粗"/>
    <w:basedOn w:val="1"/>
    <w:qFormat/>
    <w:uiPriority w:val="0"/>
    <w:pPr>
      <w:jc w:val="center"/>
    </w:pPr>
    <w:rPr>
      <w:b/>
      <w:sz w:val="44"/>
      <w:szCs w:val="21"/>
    </w:rPr>
  </w:style>
  <w:style w:type="paragraph" w:customStyle="1" w:styleId="90">
    <w:name w:val="居中宋体三号"/>
    <w:basedOn w:val="1"/>
    <w:qFormat/>
    <w:uiPriority w:val="0"/>
    <w:pPr>
      <w:jc w:val="center"/>
    </w:pPr>
    <w:rPr>
      <w:sz w:val="32"/>
      <w:szCs w:val="21"/>
    </w:rPr>
  </w:style>
  <w:style w:type="paragraph" w:customStyle="1" w:styleId="91">
    <w:name w:val="居中宋体三号粗"/>
    <w:basedOn w:val="1"/>
    <w:qFormat/>
    <w:uiPriority w:val="0"/>
    <w:pPr>
      <w:jc w:val="center"/>
    </w:pPr>
    <w:rPr>
      <w:b/>
      <w:sz w:val="32"/>
      <w:szCs w:val="21"/>
    </w:rPr>
  </w:style>
  <w:style w:type="paragraph" w:customStyle="1" w:styleId="92">
    <w:name w:val="居中宋体四号"/>
    <w:basedOn w:val="1"/>
    <w:qFormat/>
    <w:uiPriority w:val="0"/>
    <w:pPr>
      <w:jc w:val="center"/>
    </w:pPr>
    <w:rPr>
      <w:sz w:val="28"/>
      <w:szCs w:val="21"/>
    </w:rPr>
  </w:style>
  <w:style w:type="paragraph" w:customStyle="1" w:styleId="93">
    <w:name w:val="居中宋体四号粗"/>
    <w:basedOn w:val="1"/>
    <w:qFormat/>
    <w:uiPriority w:val="0"/>
    <w:pPr>
      <w:jc w:val="center"/>
    </w:pPr>
    <w:rPr>
      <w:b/>
      <w:sz w:val="28"/>
      <w:szCs w:val="21"/>
    </w:rPr>
  </w:style>
  <w:style w:type="paragraph" w:customStyle="1" w:styleId="94">
    <w:name w:val="居中宋体五号"/>
    <w:basedOn w:val="1"/>
    <w:qFormat/>
    <w:uiPriority w:val="0"/>
    <w:pPr>
      <w:jc w:val="center"/>
    </w:pPr>
    <w:rPr>
      <w:szCs w:val="21"/>
    </w:rPr>
  </w:style>
  <w:style w:type="paragraph" w:customStyle="1" w:styleId="95">
    <w:name w:val="居中宋体五号粗"/>
    <w:basedOn w:val="1"/>
    <w:qFormat/>
    <w:uiPriority w:val="0"/>
    <w:pPr>
      <w:jc w:val="center"/>
    </w:pPr>
    <w:rPr>
      <w:b/>
      <w:szCs w:val="21"/>
    </w:rPr>
  </w:style>
  <w:style w:type="paragraph" w:customStyle="1" w:styleId="96">
    <w:name w:val="居中宋体小二"/>
    <w:basedOn w:val="1"/>
    <w:qFormat/>
    <w:uiPriority w:val="0"/>
    <w:pPr>
      <w:jc w:val="center"/>
    </w:pPr>
    <w:rPr>
      <w:sz w:val="36"/>
      <w:szCs w:val="21"/>
    </w:rPr>
  </w:style>
  <w:style w:type="paragraph" w:customStyle="1" w:styleId="97">
    <w:name w:val="居中宋体小二粗"/>
    <w:basedOn w:val="1"/>
    <w:qFormat/>
    <w:uiPriority w:val="0"/>
    <w:pPr>
      <w:jc w:val="center"/>
    </w:pPr>
    <w:rPr>
      <w:b/>
      <w:sz w:val="36"/>
      <w:szCs w:val="21"/>
    </w:rPr>
  </w:style>
  <w:style w:type="paragraph" w:customStyle="1" w:styleId="98">
    <w:name w:val="居中宋体小三"/>
    <w:basedOn w:val="1"/>
    <w:qFormat/>
    <w:uiPriority w:val="0"/>
    <w:pPr>
      <w:jc w:val="center"/>
    </w:pPr>
    <w:rPr>
      <w:sz w:val="30"/>
      <w:szCs w:val="21"/>
    </w:rPr>
  </w:style>
  <w:style w:type="paragraph" w:customStyle="1" w:styleId="99">
    <w:name w:val="居中宋体小三粗"/>
    <w:basedOn w:val="1"/>
    <w:qFormat/>
    <w:uiPriority w:val="0"/>
    <w:pPr>
      <w:jc w:val="center"/>
    </w:pPr>
    <w:rPr>
      <w:b/>
      <w:sz w:val="30"/>
      <w:szCs w:val="21"/>
    </w:rPr>
  </w:style>
  <w:style w:type="paragraph" w:customStyle="1" w:styleId="100">
    <w:name w:val="居中宋体小四"/>
    <w:basedOn w:val="1"/>
    <w:qFormat/>
    <w:uiPriority w:val="0"/>
    <w:pPr>
      <w:jc w:val="center"/>
    </w:pPr>
    <w:rPr>
      <w:sz w:val="24"/>
      <w:szCs w:val="21"/>
    </w:rPr>
  </w:style>
  <w:style w:type="paragraph" w:customStyle="1" w:styleId="101">
    <w:name w:val="居中宋体小四粗"/>
    <w:basedOn w:val="1"/>
    <w:qFormat/>
    <w:uiPriority w:val="0"/>
    <w:pPr>
      <w:jc w:val="center"/>
    </w:pPr>
    <w:rPr>
      <w:b/>
      <w:sz w:val="24"/>
      <w:szCs w:val="21"/>
    </w:rPr>
  </w:style>
  <w:style w:type="paragraph" w:customStyle="1" w:styleId="102">
    <w:name w:val="居中宋体小一"/>
    <w:basedOn w:val="1"/>
    <w:qFormat/>
    <w:uiPriority w:val="0"/>
    <w:pPr>
      <w:jc w:val="center"/>
    </w:pPr>
    <w:rPr>
      <w:sz w:val="48"/>
      <w:szCs w:val="21"/>
    </w:rPr>
  </w:style>
  <w:style w:type="paragraph" w:customStyle="1" w:styleId="103">
    <w:name w:val="居中宋体小一粗"/>
    <w:basedOn w:val="1"/>
    <w:qFormat/>
    <w:uiPriority w:val="0"/>
    <w:pPr>
      <w:jc w:val="center"/>
    </w:pPr>
    <w:rPr>
      <w:rFonts w:cs="黑体"/>
      <w:b/>
      <w:sz w:val="48"/>
      <w:szCs w:val="28"/>
    </w:rPr>
  </w:style>
  <w:style w:type="paragraph" w:customStyle="1" w:styleId="104">
    <w:name w:val="居中宋体一号"/>
    <w:basedOn w:val="1"/>
    <w:qFormat/>
    <w:uiPriority w:val="0"/>
    <w:pPr>
      <w:jc w:val="center"/>
    </w:pPr>
    <w:rPr>
      <w:sz w:val="52"/>
      <w:szCs w:val="21"/>
    </w:rPr>
  </w:style>
  <w:style w:type="paragraph" w:customStyle="1" w:styleId="105">
    <w:name w:val="居中宋体一号粗"/>
    <w:basedOn w:val="1"/>
    <w:qFormat/>
    <w:uiPriority w:val="0"/>
    <w:pPr>
      <w:jc w:val="center"/>
    </w:pPr>
    <w:rPr>
      <w:b/>
      <w:sz w:val="52"/>
      <w:szCs w:val="21"/>
    </w:rPr>
  </w:style>
  <w:style w:type="paragraph" w:customStyle="1" w:styleId="106">
    <w:name w:val="左黑体三号"/>
    <w:basedOn w:val="1"/>
    <w:qFormat/>
    <w:uiPriority w:val="0"/>
    <w:rPr>
      <w:rFonts w:ascii="黑体" w:hAnsi="黑体" w:eastAsia="黑体"/>
      <w:sz w:val="32"/>
      <w:szCs w:val="21"/>
    </w:rPr>
  </w:style>
  <w:style w:type="paragraph" w:customStyle="1" w:styleId="107">
    <w:name w:val="左黑体三号粗"/>
    <w:basedOn w:val="1"/>
    <w:qFormat/>
    <w:uiPriority w:val="0"/>
    <w:rPr>
      <w:rFonts w:ascii="黑体" w:hAnsi="黑体" w:eastAsia="黑体"/>
      <w:b/>
      <w:sz w:val="32"/>
      <w:szCs w:val="21"/>
    </w:rPr>
  </w:style>
  <w:style w:type="paragraph" w:customStyle="1" w:styleId="108">
    <w:name w:val="左黑体四号"/>
    <w:basedOn w:val="1"/>
    <w:qFormat/>
    <w:uiPriority w:val="0"/>
    <w:rPr>
      <w:rFonts w:ascii="黑体" w:hAnsi="黑体" w:eastAsia="黑体"/>
      <w:sz w:val="28"/>
      <w:szCs w:val="21"/>
    </w:rPr>
  </w:style>
  <w:style w:type="paragraph" w:customStyle="1" w:styleId="109">
    <w:name w:val="左黑体四号粗"/>
    <w:basedOn w:val="1"/>
    <w:qFormat/>
    <w:uiPriority w:val="0"/>
    <w:rPr>
      <w:rFonts w:ascii="黑体" w:hAnsi="黑体" w:eastAsia="黑体"/>
      <w:b/>
      <w:sz w:val="28"/>
      <w:szCs w:val="21"/>
    </w:rPr>
  </w:style>
  <w:style w:type="paragraph" w:customStyle="1" w:styleId="110">
    <w:name w:val="左黑体五号"/>
    <w:basedOn w:val="1"/>
    <w:qFormat/>
    <w:uiPriority w:val="0"/>
    <w:rPr>
      <w:rFonts w:ascii="黑体" w:hAnsi="黑体" w:eastAsia="黑体"/>
      <w:szCs w:val="21"/>
    </w:rPr>
  </w:style>
  <w:style w:type="paragraph" w:customStyle="1" w:styleId="111">
    <w:name w:val="左黑体五号粗"/>
    <w:basedOn w:val="1"/>
    <w:qFormat/>
    <w:uiPriority w:val="0"/>
    <w:rPr>
      <w:rFonts w:ascii="黑体" w:hAnsi="黑体" w:eastAsia="黑体"/>
      <w:b/>
      <w:szCs w:val="21"/>
    </w:rPr>
  </w:style>
  <w:style w:type="paragraph" w:customStyle="1" w:styleId="112">
    <w:name w:val="左黑体小二"/>
    <w:basedOn w:val="1"/>
    <w:qFormat/>
    <w:uiPriority w:val="0"/>
    <w:rPr>
      <w:rFonts w:ascii="黑体" w:hAnsi="黑体" w:eastAsia="黑体"/>
      <w:sz w:val="36"/>
      <w:szCs w:val="21"/>
    </w:rPr>
  </w:style>
  <w:style w:type="paragraph" w:customStyle="1" w:styleId="113">
    <w:name w:val="左黑体小二粗"/>
    <w:basedOn w:val="1"/>
    <w:qFormat/>
    <w:uiPriority w:val="0"/>
    <w:rPr>
      <w:rFonts w:ascii="黑体" w:hAnsi="黑体" w:eastAsia="黑体"/>
      <w:b/>
      <w:sz w:val="36"/>
      <w:szCs w:val="21"/>
    </w:rPr>
  </w:style>
  <w:style w:type="paragraph" w:customStyle="1" w:styleId="114">
    <w:name w:val="左黑体小三"/>
    <w:basedOn w:val="1"/>
    <w:qFormat/>
    <w:uiPriority w:val="0"/>
    <w:rPr>
      <w:rFonts w:ascii="黑体" w:hAnsi="黑体" w:eastAsia="黑体"/>
      <w:sz w:val="30"/>
      <w:szCs w:val="21"/>
    </w:rPr>
  </w:style>
  <w:style w:type="paragraph" w:customStyle="1" w:styleId="115">
    <w:name w:val="左黑体小三粗"/>
    <w:basedOn w:val="1"/>
    <w:qFormat/>
    <w:uiPriority w:val="0"/>
    <w:rPr>
      <w:rFonts w:ascii="黑体" w:hAnsi="黑体" w:eastAsia="黑体"/>
      <w:b/>
      <w:sz w:val="30"/>
      <w:szCs w:val="21"/>
    </w:rPr>
  </w:style>
  <w:style w:type="paragraph" w:customStyle="1" w:styleId="116">
    <w:name w:val="左黑体小四"/>
    <w:basedOn w:val="1"/>
    <w:qFormat/>
    <w:uiPriority w:val="0"/>
    <w:rPr>
      <w:rFonts w:ascii="黑体" w:hAnsi="黑体" w:eastAsia="黑体"/>
      <w:sz w:val="24"/>
      <w:szCs w:val="21"/>
    </w:rPr>
  </w:style>
  <w:style w:type="paragraph" w:customStyle="1" w:styleId="117">
    <w:name w:val="左黑体小四粗"/>
    <w:basedOn w:val="1"/>
    <w:qFormat/>
    <w:uiPriority w:val="0"/>
    <w:rPr>
      <w:rFonts w:ascii="黑体" w:hAnsi="黑体" w:eastAsia="黑体"/>
      <w:b/>
      <w:sz w:val="24"/>
      <w:szCs w:val="21"/>
    </w:rPr>
  </w:style>
  <w:style w:type="paragraph" w:customStyle="1" w:styleId="118">
    <w:name w:val="左黑体小一"/>
    <w:basedOn w:val="1"/>
    <w:qFormat/>
    <w:uiPriority w:val="0"/>
    <w:rPr>
      <w:rFonts w:ascii="黑体" w:hAnsi="黑体" w:eastAsia="黑体"/>
      <w:sz w:val="48"/>
      <w:szCs w:val="21"/>
    </w:rPr>
  </w:style>
  <w:style w:type="paragraph" w:customStyle="1" w:styleId="119">
    <w:name w:val="左黑体小一粗"/>
    <w:basedOn w:val="1"/>
    <w:qFormat/>
    <w:uiPriority w:val="0"/>
    <w:rPr>
      <w:rFonts w:ascii="黑体" w:hAnsi="黑体" w:eastAsia="黑体" w:cs="黑体"/>
      <w:b/>
      <w:sz w:val="48"/>
      <w:szCs w:val="28"/>
    </w:rPr>
  </w:style>
  <w:style w:type="paragraph" w:customStyle="1" w:styleId="120">
    <w:name w:val="左黑体一号"/>
    <w:basedOn w:val="1"/>
    <w:qFormat/>
    <w:uiPriority w:val="0"/>
    <w:rPr>
      <w:rFonts w:ascii="黑体" w:hAnsi="黑体" w:eastAsia="黑体"/>
      <w:sz w:val="52"/>
      <w:szCs w:val="21"/>
    </w:rPr>
  </w:style>
  <w:style w:type="paragraph" w:customStyle="1" w:styleId="121">
    <w:name w:val="左黑体一号粗"/>
    <w:basedOn w:val="1"/>
    <w:qFormat/>
    <w:uiPriority w:val="0"/>
    <w:rPr>
      <w:rFonts w:ascii="黑体" w:hAnsi="黑体" w:eastAsia="黑体"/>
      <w:b/>
      <w:sz w:val="52"/>
      <w:szCs w:val="21"/>
    </w:rPr>
  </w:style>
  <w:style w:type="paragraph" w:customStyle="1" w:styleId="122">
    <w:name w:val="Source Code"/>
    <w:basedOn w:val="1"/>
    <w:uiPriority w:val="0"/>
    <w:pPr>
      <w:wordWrap w:val="0"/>
    </w:pPr>
  </w:style>
  <w:style w:type="character" w:customStyle="1" w:styleId="123">
    <w:name w:val="正文文本 字符"/>
    <w:link w:val="3"/>
    <w:uiPriority w:val="0"/>
    <w:rPr>
      <w:rFonts w:eastAsia="宋体"/>
      <w:sz w:val="21"/>
    </w:rPr>
  </w:style>
  <w:style w:type="character" w:customStyle="1" w:styleId="124">
    <w:name w:val="题注 字符"/>
    <w:basedOn w:val="21"/>
    <w:link w:val="12"/>
    <w:uiPriority w:val="0"/>
    <w:rPr/>
  </w:style>
  <w:style w:type="character" w:customStyle="1" w:styleId="125">
    <w:name w:val="Verbatim Char"/>
    <w:uiPriority w:val="0"/>
    <w:rPr>
      <w:rFonts w:ascii="Consolas" w:hAnsi="Consolas"/>
      <w:sz w:val="22"/>
    </w:rPr>
  </w:style>
  <w:style w:type="character" w:customStyle="1" w:styleId="126">
    <w:name w:val="页眉 字符"/>
    <w:link w:val="17"/>
    <w:uiPriority w:val="0"/>
    <w:rPr>
      <w:sz w:val="18"/>
      <w:szCs w:val="18"/>
    </w:rPr>
  </w:style>
  <w:style w:type="character" w:customStyle="1" w:styleId="127">
    <w:name w:val="页脚 字符"/>
    <w:link w:val="16"/>
    <w:uiPriority w:val="99"/>
    <w:rPr>
      <w:sz w:val="18"/>
      <w:szCs w:val="18"/>
    </w:rPr>
  </w:style>
  <w:style w:type="character" w:customStyle="1" w:styleId="128">
    <w:name w:val="批注框文本 字符"/>
    <w:link w:val="15"/>
    <w:uiPriority w:val="0"/>
    <w:rPr>
      <w:rFonts w:eastAsia="宋体"/>
      <w:sz w:val="18"/>
      <w:szCs w:val="18"/>
    </w:rPr>
  </w:style>
  <w:style w:type="character" w:customStyle="1" w:styleId="129">
    <w:name w:val="KeywordTok"/>
    <w:basedOn w:val="125"/>
    <w:uiPriority w:val="0"/>
    <w:rPr>
      <w:b/>
      <w:color w:val="007020"/>
    </w:rPr>
  </w:style>
  <w:style w:type="character" w:customStyle="1" w:styleId="130">
    <w:name w:val="DataTypeTok"/>
    <w:basedOn w:val="125"/>
    <w:uiPriority w:val="0"/>
    <w:rPr>
      <w:color w:val="902000"/>
    </w:rPr>
  </w:style>
  <w:style w:type="character" w:customStyle="1" w:styleId="131">
    <w:name w:val="DecValTok"/>
    <w:basedOn w:val="125"/>
    <w:uiPriority w:val="0"/>
    <w:rPr>
      <w:color w:val="40A070"/>
    </w:rPr>
  </w:style>
  <w:style w:type="character" w:customStyle="1" w:styleId="132">
    <w:name w:val="BaseNTok"/>
    <w:basedOn w:val="125"/>
    <w:uiPriority w:val="0"/>
    <w:rPr>
      <w:color w:val="40A070"/>
    </w:rPr>
  </w:style>
  <w:style w:type="character" w:customStyle="1" w:styleId="133">
    <w:name w:val="FloatTok"/>
    <w:basedOn w:val="125"/>
    <w:uiPriority w:val="0"/>
    <w:rPr>
      <w:color w:val="40A070"/>
    </w:rPr>
  </w:style>
  <w:style w:type="character" w:customStyle="1" w:styleId="134">
    <w:name w:val="ConstantTok"/>
    <w:basedOn w:val="125"/>
    <w:uiPriority w:val="0"/>
    <w:rPr>
      <w:color w:val="880000"/>
    </w:rPr>
  </w:style>
  <w:style w:type="character" w:customStyle="1" w:styleId="135">
    <w:name w:val="CharTok"/>
    <w:basedOn w:val="125"/>
    <w:uiPriority w:val="0"/>
    <w:rPr>
      <w:color w:val="4070A0"/>
    </w:rPr>
  </w:style>
  <w:style w:type="character" w:customStyle="1" w:styleId="136">
    <w:name w:val="SpecialCharTok"/>
    <w:basedOn w:val="125"/>
    <w:uiPriority w:val="0"/>
    <w:rPr>
      <w:color w:val="4070A0"/>
    </w:rPr>
  </w:style>
  <w:style w:type="character" w:customStyle="1" w:styleId="137">
    <w:name w:val="StringTok"/>
    <w:basedOn w:val="125"/>
    <w:uiPriority w:val="0"/>
    <w:rPr>
      <w:color w:val="4070A0"/>
    </w:rPr>
  </w:style>
  <w:style w:type="character" w:customStyle="1" w:styleId="138">
    <w:name w:val="VerbatimStringTok"/>
    <w:basedOn w:val="125"/>
    <w:uiPriority w:val="0"/>
    <w:rPr>
      <w:color w:val="4070A0"/>
    </w:rPr>
  </w:style>
  <w:style w:type="character" w:customStyle="1" w:styleId="139">
    <w:name w:val="SpecialStringTok"/>
    <w:basedOn w:val="125"/>
    <w:uiPriority w:val="0"/>
    <w:rPr>
      <w:color w:val="BB6688"/>
    </w:rPr>
  </w:style>
  <w:style w:type="character" w:customStyle="1" w:styleId="140">
    <w:name w:val="ImportTok"/>
    <w:basedOn w:val="125"/>
    <w:uiPriority w:val="0"/>
    <w:rPr>
      <w:b/>
      <w:color w:val="008000"/>
    </w:rPr>
  </w:style>
  <w:style w:type="character" w:customStyle="1" w:styleId="141">
    <w:name w:val="CommentTok"/>
    <w:basedOn w:val="125"/>
    <w:uiPriority w:val="0"/>
    <w:rPr>
      <w:i/>
      <w:color w:val="60A0B0"/>
    </w:rPr>
  </w:style>
  <w:style w:type="character" w:customStyle="1" w:styleId="142">
    <w:name w:val="DocumentationTok"/>
    <w:basedOn w:val="125"/>
    <w:uiPriority w:val="0"/>
    <w:rPr>
      <w:i/>
      <w:color w:val="BA2121"/>
    </w:rPr>
  </w:style>
  <w:style w:type="character" w:customStyle="1" w:styleId="143">
    <w:name w:val="AnnotationTok"/>
    <w:basedOn w:val="125"/>
    <w:uiPriority w:val="0"/>
    <w:rPr>
      <w:b/>
      <w:i/>
      <w:color w:val="60A0B0"/>
    </w:rPr>
  </w:style>
  <w:style w:type="character" w:customStyle="1" w:styleId="144">
    <w:name w:val="CommentVarTok"/>
    <w:basedOn w:val="125"/>
    <w:uiPriority w:val="0"/>
    <w:rPr>
      <w:b/>
      <w:i/>
      <w:color w:val="60A0B0"/>
    </w:rPr>
  </w:style>
  <w:style w:type="character" w:customStyle="1" w:styleId="145">
    <w:name w:val="OtherTok"/>
    <w:basedOn w:val="125"/>
    <w:uiPriority w:val="0"/>
    <w:rPr>
      <w:color w:val="007020"/>
    </w:rPr>
  </w:style>
  <w:style w:type="character" w:customStyle="1" w:styleId="146">
    <w:name w:val="FunctionTok"/>
    <w:basedOn w:val="125"/>
    <w:uiPriority w:val="0"/>
    <w:rPr>
      <w:color w:val="06287E"/>
    </w:rPr>
  </w:style>
  <w:style w:type="character" w:customStyle="1" w:styleId="147">
    <w:name w:val="VariableTok"/>
    <w:basedOn w:val="125"/>
    <w:uiPriority w:val="0"/>
    <w:rPr>
      <w:color w:val="19177C"/>
    </w:rPr>
  </w:style>
  <w:style w:type="character" w:customStyle="1" w:styleId="148">
    <w:name w:val="ControlFlowTok"/>
    <w:basedOn w:val="125"/>
    <w:uiPriority w:val="0"/>
    <w:rPr>
      <w:b/>
      <w:color w:val="007020"/>
    </w:rPr>
  </w:style>
  <w:style w:type="character" w:customStyle="1" w:styleId="149">
    <w:name w:val="OperatorTok"/>
    <w:basedOn w:val="125"/>
    <w:uiPriority w:val="0"/>
    <w:rPr>
      <w:color w:val="666666"/>
    </w:rPr>
  </w:style>
  <w:style w:type="character" w:customStyle="1" w:styleId="150">
    <w:name w:val="BuiltInTok"/>
    <w:basedOn w:val="125"/>
    <w:uiPriority w:val="0"/>
    <w:rPr>
      <w:color w:val="008000"/>
    </w:rPr>
  </w:style>
  <w:style w:type="character" w:customStyle="1" w:styleId="151">
    <w:name w:val="ExtensionTok"/>
    <w:basedOn w:val="125"/>
    <w:uiPriority w:val="0"/>
    <w:rPr/>
  </w:style>
  <w:style w:type="character" w:customStyle="1" w:styleId="152">
    <w:name w:val="PreprocessorTok"/>
    <w:basedOn w:val="125"/>
    <w:uiPriority w:val="0"/>
    <w:rPr>
      <w:color w:val="BC7A00"/>
    </w:rPr>
  </w:style>
  <w:style w:type="character" w:customStyle="1" w:styleId="153">
    <w:name w:val="AttributeTok"/>
    <w:basedOn w:val="125"/>
    <w:uiPriority w:val="0"/>
    <w:rPr>
      <w:color w:val="7D9029"/>
    </w:rPr>
  </w:style>
  <w:style w:type="character" w:customStyle="1" w:styleId="154">
    <w:name w:val="RegionMarkerTok"/>
    <w:basedOn w:val="125"/>
    <w:uiPriority w:val="0"/>
    <w:rPr/>
  </w:style>
  <w:style w:type="character" w:customStyle="1" w:styleId="155">
    <w:name w:val="InformationTok"/>
    <w:basedOn w:val="125"/>
    <w:uiPriority w:val="0"/>
    <w:rPr>
      <w:b/>
      <w:i/>
      <w:color w:val="60A0B0"/>
    </w:rPr>
  </w:style>
  <w:style w:type="character" w:customStyle="1" w:styleId="156">
    <w:name w:val="WarningTok"/>
    <w:basedOn w:val="125"/>
    <w:uiPriority w:val="0"/>
    <w:rPr>
      <w:b/>
      <w:i/>
      <w:color w:val="60A0B0"/>
    </w:rPr>
  </w:style>
  <w:style w:type="character" w:customStyle="1" w:styleId="157">
    <w:name w:val="AlertTok"/>
    <w:basedOn w:val="125"/>
    <w:uiPriority w:val="0"/>
    <w:rPr>
      <w:b/>
      <w:color w:val="FF0000"/>
    </w:rPr>
  </w:style>
  <w:style w:type="character" w:customStyle="1" w:styleId="158">
    <w:name w:val="ErrorTok"/>
    <w:basedOn w:val="125"/>
    <w:uiPriority w:val="0"/>
    <w:rPr>
      <w:b/>
      <w:color w:val="FF0000"/>
    </w:rPr>
  </w:style>
  <w:style w:type="character" w:customStyle="1" w:styleId="159">
    <w:name w:val="NormalTok"/>
    <w:basedOn w:val="125"/>
    <w:uiPriority w:val="0"/>
    <w:rPr/>
  </w:style>
  <w:style w:type="table" w:customStyle="1" w:styleId="160">
    <w:name w:val="Table"/>
    <w:unhideWhenUsed/>
    <w:qFormat/>
    <w:uiPriority w:val="0"/>
    <w:rPr>
      <w:sz w:val="21"/>
      <w:szCs w:val="24"/>
      <w:lang w:eastAsia="en-US"/>
    </w:r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cPr>
      <w:textDirection w:val="lrTb"/>
    </w:tcPr>
  </w:style>
</w:styles>
</file>

<file path=word/_rels/document.xml.rels><?xml version="1.0" encoding="UTF-8" standalone="yes"?>
<Relationships xmlns="http://schemas.openxmlformats.org/package/2006/relationships"><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A4.dot</Template>
  <Company>Microsoft</Company>
  <Pages>1</Pages>
  <Words>3</Words>
  <Characters>20</Characters>
  <Lines>1</Lines>
  <Paragraphs>1</Paragraphs>
  <TotalTime>0</TotalTime>
  <ScaleCrop>false</ScaleCrop>
  <LinksUpToDate>false</LinksUpToDate>
  <CharactersWithSpaces>0</CharactersWithSpaces>
  <Application>WPS Office 专业版_9.1.0.4940_F1E327BC-269C-435d-A152-05C5408002CA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2025-03-31T01:29:00Z</dcterms:created>
  <cp:lastModifiedBy>1</cp:lastModifiedBy>
  <dcterms:modified xsi:type="dcterms:W3CDTF">2025-04-10T06:45:19Z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2052-9.1.0.4940</vt:lpwstr>
  </property>
</Properties>
</file>